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77AF2" w14:textId="77777777" w:rsidR="007A4F77" w:rsidRPr="007A4F77" w:rsidRDefault="007A4F77" w:rsidP="007A4F77">
      <w:pPr>
        <w:spacing w:after="0" w:line="240" w:lineRule="auto"/>
        <w:rPr>
          <w:rFonts w:cstheme="minorHAnsi"/>
          <w:color w:val="000000" w:themeColor="text1"/>
          <w:szCs w:val="24"/>
          <w:shd w:val="clear" w:color="auto" w:fill="FFFFFF"/>
        </w:rPr>
      </w:pPr>
      <w:r w:rsidRPr="007A4F77">
        <w:rPr>
          <w:rFonts w:cstheme="minorHAnsi"/>
          <w:color w:val="000000" w:themeColor="text1"/>
          <w:szCs w:val="24"/>
          <w:shd w:val="clear" w:color="auto" w:fill="FFFFFF"/>
        </w:rPr>
        <w:t>04. 9. 2024. godine</w:t>
      </w:r>
    </w:p>
    <w:p w14:paraId="50346590" w14:textId="77777777" w:rsidR="007A4F77" w:rsidRPr="007A4F77" w:rsidRDefault="007A4F77" w:rsidP="007A4F77">
      <w:pPr>
        <w:spacing w:after="0" w:line="240" w:lineRule="auto"/>
        <w:rPr>
          <w:rFonts w:cstheme="minorHAnsi"/>
          <w:color w:val="000000" w:themeColor="text1"/>
          <w:szCs w:val="24"/>
          <w:shd w:val="clear" w:color="auto" w:fill="FFFFFF"/>
        </w:rPr>
      </w:pPr>
    </w:p>
    <w:p w14:paraId="5EA886A1" w14:textId="068A0B2A" w:rsidR="00CF5B5E" w:rsidRDefault="007A4F77" w:rsidP="007A4F77">
      <w:pPr>
        <w:spacing w:after="0" w:line="240" w:lineRule="auto"/>
        <w:rPr>
          <w:rFonts w:cstheme="minorHAnsi"/>
          <w:b/>
          <w:i/>
          <w:iCs/>
          <w:color w:val="000000" w:themeColor="text1"/>
          <w:szCs w:val="24"/>
          <w:u w:val="single"/>
        </w:rPr>
      </w:pPr>
      <w:r w:rsidRPr="007A4F77">
        <w:rPr>
          <w:rFonts w:cstheme="minorHAnsi"/>
          <w:b/>
          <w:i/>
          <w:iCs/>
          <w:color w:val="000000" w:themeColor="text1"/>
          <w:szCs w:val="24"/>
          <w:u w:val="single"/>
        </w:rPr>
        <w:t xml:space="preserve">Priopćenje za medije </w:t>
      </w:r>
    </w:p>
    <w:p w14:paraId="78DB0A18" w14:textId="77777777" w:rsidR="007A4F77" w:rsidRPr="007A4F77" w:rsidRDefault="007A4F77" w:rsidP="007A4F77">
      <w:pPr>
        <w:spacing w:after="0" w:line="240" w:lineRule="auto"/>
        <w:rPr>
          <w:rFonts w:cstheme="minorHAnsi"/>
          <w:b/>
          <w:i/>
          <w:iCs/>
          <w:color w:val="000000" w:themeColor="text1"/>
          <w:szCs w:val="24"/>
          <w:u w:val="single"/>
        </w:rPr>
      </w:pPr>
    </w:p>
    <w:p w14:paraId="6882D6DB" w14:textId="061F31A2" w:rsidR="00DE7375" w:rsidRPr="007A4F77" w:rsidRDefault="007E48C1" w:rsidP="007A4F77">
      <w:pPr>
        <w:pStyle w:val="Heading1"/>
        <w:spacing w:before="120" w:after="120"/>
        <w:jc w:val="both"/>
        <w:rPr>
          <w:rFonts w:asciiTheme="minorHAnsi" w:hAnsiTheme="minorHAnsi" w:cstheme="minorHAnsi"/>
          <w:bCs/>
          <w:sz w:val="28"/>
        </w:rPr>
      </w:pPr>
      <w:r w:rsidRPr="007A4F77">
        <w:rPr>
          <w:rFonts w:asciiTheme="minorHAnsi" w:hAnsiTheme="minorHAnsi" w:cstheme="minorHAnsi"/>
          <w:bCs/>
          <w:sz w:val="28"/>
        </w:rPr>
        <w:t xml:space="preserve">Uz podršku </w:t>
      </w:r>
      <w:r w:rsidR="00580B2A" w:rsidRPr="007A4F77">
        <w:rPr>
          <w:rFonts w:asciiTheme="minorHAnsi" w:hAnsiTheme="minorHAnsi" w:cstheme="minorHAnsi"/>
          <w:bCs/>
          <w:sz w:val="28"/>
        </w:rPr>
        <w:t xml:space="preserve">Evropske unije i </w:t>
      </w:r>
      <w:r w:rsidRPr="007A4F77">
        <w:rPr>
          <w:rFonts w:asciiTheme="minorHAnsi" w:hAnsiTheme="minorHAnsi" w:cstheme="minorHAnsi"/>
          <w:bCs/>
          <w:sz w:val="28"/>
        </w:rPr>
        <w:t>Fonda za zaštitu okoliša Federacije BiH</w:t>
      </w:r>
      <w:r w:rsidR="00580B2A" w:rsidRPr="007A4F77">
        <w:rPr>
          <w:rFonts w:asciiTheme="minorHAnsi" w:hAnsiTheme="minorHAnsi" w:cstheme="minorHAnsi"/>
          <w:bCs/>
          <w:sz w:val="28"/>
        </w:rPr>
        <w:t>,</w:t>
      </w:r>
      <w:r w:rsidRPr="007A4F77">
        <w:rPr>
          <w:rFonts w:asciiTheme="minorHAnsi" w:hAnsiTheme="minorHAnsi" w:cstheme="minorHAnsi"/>
          <w:bCs/>
          <w:sz w:val="28"/>
        </w:rPr>
        <w:t xml:space="preserve"> građani Federacije BiH dobili </w:t>
      </w:r>
      <w:r w:rsidR="00580B2A" w:rsidRPr="007A4F77">
        <w:rPr>
          <w:rFonts w:asciiTheme="minorHAnsi" w:hAnsiTheme="minorHAnsi" w:cstheme="minorHAnsi"/>
          <w:bCs/>
          <w:sz w:val="28"/>
        </w:rPr>
        <w:t xml:space="preserve">su </w:t>
      </w:r>
      <w:r w:rsidRPr="007A4F77">
        <w:rPr>
          <w:rFonts w:asciiTheme="minorHAnsi" w:hAnsiTheme="minorHAnsi" w:cstheme="minorHAnsi"/>
          <w:bCs/>
          <w:sz w:val="28"/>
        </w:rPr>
        <w:t>priliku da neposredno iskoriste prednosti mjera energijske efikasnosti</w:t>
      </w:r>
    </w:p>
    <w:p w14:paraId="024D5988" w14:textId="77777777" w:rsidR="007A4F77" w:rsidRDefault="007A4F77" w:rsidP="00CF5B5E">
      <w:pPr>
        <w:spacing w:before="120" w:line="240" w:lineRule="auto"/>
        <w:jc w:val="both"/>
      </w:pPr>
    </w:p>
    <w:p w14:paraId="727BBF1A" w14:textId="318CB79F" w:rsidR="00CF5B5E" w:rsidRPr="00CF5B5E" w:rsidRDefault="00DE7375" w:rsidP="00CF5B5E">
      <w:pPr>
        <w:spacing w:before="120" w:line="240" w:lineRule="auto"/>
        <w:jc w:val="both"/>
        <w:sectPr w:rsidR="00CF5B5E" w:rsidRPr="00CF5B5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5B5E">
        <w:t xml:space="preserve">Fond za zaštitu okoliša Federacije BiH jedan je od aktera koji zajedno sa drugim institucionalnim </w:t>
      </w:r>
      <w:r w:rsidR="00580B2A" w:rsidRPr="00CF5B5E">
        <w:t>partnerima</w:t>
      </w:r>
      <w:r w:rsidRPr="00CF5B5E">
        <w:t xml:space="preserve"> u Federaciji BiH uspješno realizira povjerene zadaće i provodi politiku Vlade Federacije BiH u pogledu unapređenja korištenja energije u Federaciji BiH</w:t>
      </w:r>
      <w:r w:rsidR="004E1825" w:rsidRPr="00CF5B5E">
        <w:t xml:space="preserve">, a sa krajnjim ciljem da se na sistemski način provode programi finansiranja mjera </w:t>
      </w:r>
      <w:r w:rsidR="006273D3">
        <w:t xml:space="preserve">povećanja </w:t>
      </w:r>
      <w:r w:rsidR="000372A8">
        <w:t>energijske efikasnosti</w:t>
      </w:r>
      <w:r w:rsidR="006273D3">
        <w:t xml:space="preserve"> u svim sektorima potrošnje.</w:t>
      </w:r>
      <w:r w:rsidR="00537834">
        <w:t xml:space="preserve"> </w:t>
      </w:r>
      <w:r w:rsidR="00145ABF" w:rsidRPr="00CF5B5E">
        <w:t>Aktivnosti se od 2023. godine</w:t>
      </w:r>
      <w:r w:rsidR="00585ADC">
        <w:t>, a uz pomoć bespovratnih sredstava EU</w:t>
      </w:r>
      <w:r w:rsidR="009F5D89">
        <w:t xml:space="preserve"> kroz </w:t>
      </w:r>
      <w:r w:rsidR="009F5D89" w:rsidRPr="00C6650C">
        <w:rPr>
          <w:b/>
          <w:bCs/>
        </w:rPr>
        <w:t>„Paket energetske podrške Europske unije Bosni i Hercegovini u cilju ublažavanja negativnog socio-ekonomskog utjecaja energetske krize</w:t>
      </w:r>
      <w:r w:rsidR="009F5D89">
        <w:rPr>
          <w:b/>
          <w:bCs/>
        </w:rPr>
        <w:t>“</w:t>
      </w:r>
      <w:r w:rsidR="00F1467C">
        <w:t>, po prvi put</w:t>
      </w:r>
      <w:r w:rsidR="00145ABF" w:rsidRPr="00CF5B5E">
        <w:t xml:space="preserve"> realiziraju u dijelu koji se odnosi na </w:t>
      </w:r>
      <w:r w:rsidR="004031A2">
        <w:t xml:space="preserve">stambeni sektor - </w:t>
      </w:r>
      <w:r w:rsidR="00145ABF" w:rsidRPr="00CF5B5E">
        <w:t>privatno vlasništvo pojedinačnih stambenih objekata na području FBiH. Do sada su takvi projekti bili usmjereni na javne objekte, a sada su to objekti u privatnom vlasništvu</w:t>
      </w:r>
      <w:r w:rsidR="00537834">
        <w:t xml:space="preserve"> - domaćinstva</w:t>
      </w:r>
      <w:r w:rsidR="00585ADC">
        <w:t xml:space="preserve">, </w:t>
      </w:r>
      <w:r w:rsidR="007A4F77">
        <w:t>kao i mikro, mala i srednja preduzeća (MMSP).</w:t>
      </w:r>
    </w:p>
    <w:p w14:paraId="15335B81" w14:textId="252BC91D" w:rsidR="004E1825" w:rsidRPr="00CF5B5E" w:rsidRDefault="007A4F77" w:rsidP="00CF5B5E">
      <w:pPr>
        <w:pBdr>
          <w:left w:val="single" w:sz="4" w:space="4" w:color="auto"/>
        </w:pBdr>
        <w:shd w:val="clear" w:color="auto" w:fill="E7E6E6" w:themeFill="background2"/>
        <w:spacing w:before="12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DF59E3">
        <w:rPr>
          <w:b/>
          <w:bCs/>
          <w:i/>
          <w:iCs/>
        </w:rPr>
        <w:t>„</w:t>
      </w:r>
      <w:r w:rsidR="004E1825" w:rsidRPr="00CF5B5E">
        <w:rPr>
          <w:b/>
          <w:bCs/>
          <w:i/>
          <w:iCs/>
        </w:rPr>
        <w:t>Veća energ</w:t>
      </w:r>
      <w:r w:rsidR="00EE33D6" w:rsidRPr="00CF5B5E">
        <w:rPr>
          <w:b/>
          <w:bCs/>
          <w:i/>
          <w:iCs/>
        </w:rPr>
        <w:t>ijska</w:t>
      </w:r>
      <w:r w:rsidR="004E1825" w:rsidRPr="00CF5B5E">
        <w:rPr>
          <w:b/>
          <w:bCs/>
          <w:i/>
          <w:iCs/>
        </w:rPr>
        <w:t xml:space="preserve"> </w:t>
      </w:r>
      <w:r w:rsidR="001F220A" w:rsidRPr="00CF5B5E">
        <w:rPr>
          <w:b/>
          <w:bCs/>
          <w:i/>
          <w:iCs/>
        </w:rPr>
        <w:t xml:space="preserve">efikasnost </w:t>
      </w:r>
      <w:r w:rsidR="004E1825" w:rsidRPr="00CF5B5E">
        <w:rPr>
          <w:b/>
          <w:bCs/>
          <w:i/>
          <w:iCs/>
        </w:rPr>
        <w:t>znači da se smanjenim utroškom energije proizvodi jednaki energetsk</w:t>
      </w:r>
      <w:r w:rsidR="001F220A" w:rsidRPr="00CF5B5E">
        <w:rPr>
          <w:b/>
          <w:bCs/>
          <w:i/>
          <w:iCs/>
        </w:rPr>
        <w:t>i efekti.</w:t>
      </w:r>
      <w:r w:rsidR="004E1825" w:rsidRPr="00CF5B5E">
        <w:rPr>
          <w:b/>
          <w:bCs/>
          <w:i/>
          <w:iCs/>
        </w:rPr>
        <w:t xml:space="preserve"> </w:t>
      </w:r>
      <w:r w:rsidR="001F220A" w:rsidRPr="00CF5B5E">
        <w:rPr>
          <w:b/>
          <w:bCs/>
          <w:i/>
          <w:iCs/>
        </w:rPr>
        <w:t>Efikasnijom upotrebom</w:t>
      </w:r>
      <w:r w:rsidR="004E1825" w:rsidRPr="00CF5B5E">
        <w:rPr>
          <w:b/>
          <w:bCs/>
          <w:i/>
          <w:iCs/>
        </w:rPr>
        <w:t xml:space="preserve"> energije građani mogu smanjiti svoje račune za energiju, pomoći zaštititi svoje zdravlje i okoliš te poboljšati kvalitet zraka.</w:t>
      </w:r>
      <w:r w:rsidR="00DF59E3">
        <w:rPr>
          <w:b/>
          <w:bCs/>
          <w:i/>
          <w:iCs/>
        </w:rPr>
        <w:t>“</w:t>
      </w:r>
    </w:p>
    <w:p w14:paraId="4DF30C9F" w14:textId="52F4BE71" w:rsidR="00B05DFA" w:rsidRPr="00CF5B5E" w:rsidRDefault="004E1825" w:rsidP="00CF5B5E">
      <w:pPr>
        <w:spacing w:before="120" w:line="240" w:lineRule="auto"/>
        <w:jc w:val="both"/>
      </w:pPr>
      <w:r w:rsidRPr="00CF5B5E">
        <w:t>U 2023. godini g</w:t>
      </w:r>
      <w:r w:rsidR="00DE7375" w:rsidRPr="00CF5B5E">
        <w:t xml:space="preserve">rađani </w:t>
      </w:r>
      <w:r w:rsidRPr="00CF5B5E">
        <w:t xml:space="preserve">BiH dobili su priliku </w:t>
      </w:r>
      <w:r w:rsidR="00DE7375" w:rsidRPr="00CF5B5E">
        <w:t>da</w:t>
      </w:r>
      <w:r w:rsidR="00580B2A" w:rsidRPr="00CF5B5E">
        <w:t xml:space="preserve"> po prvi put</w:t>
      </w:r>
      <w:r w:rsidR="00DE7375" w:rsidRPr="00CF5B5E">
        <w:t xml:space="preserve"> </w:t>
      </w:r>
      <w:r w:rsidR="00F7670B">
        <w:t xml:space="preserve">neposredno </w:t>
      </w:r>
      <w:r w:rsidR="00DE7375" w:rsidRPr="00CF5B5E">
        <w:t xml:space="preserve">iskoriste prednosti </w:t>
      </w:r>
      <w:r w:rsidR="00580B2A" w:rsidRPr="00CF5B5E">
        <w:t xml:space="preserve">EU </w:t>
      </w:r>
      <w:r w:rsidR="00485173" w:rsidRPr="00CF5B5E">
        <w:t>bespovratnih sredstava za provo</w:t>
      </w:r>
      <w:r w:rsidR="00580B2A" w:rsidRPr="00CF5B5E">
        <w:t>đ</w:t>
      </w:r>
      <w:r w:rsidR="00485173" w:rsidRPr="00CF5B5E">
        <w:t>enje mjera energijske efikasnosti</w:t>
      </w:r>
      <w:r w:rsidR="00EE33D6" w:rsidRPr="00CF5B5E">
        <w:t>, tačnije</w:t>
      </w:r>
      <w:r w:rsidRPr="00CF5B5E">
        <w:t xml:space="preserve">, po usvajanju </w:t>
      </w:r>
      <w:r w:rsidR="00FC1BCD" w:rsidRPr="00CF5B5E">
        <w:t>„</w:t>
      </w:r>
      <w:r w:rsidRPr="00CF5B5E">
        <w:t>Akcijskog plana/mape puta</w:t>
      </w:r>
      <w:r w:rsidR="00FC1BCD" w:rsidRPr="00CF5B5E">
        <w:t>“</w:t>
      </w:r>
      <w:r w:rsidRPr="00CF5B5E">
        <w:t xml:space="preserve"> od strane Vijeća ministara </w:t>
      </w:r>
      <w:r w:rsidRPr="009F5D89">
        <w:t>BiH, koji je pripremil</w:t>
      </w:r>
      <w:r w:rsidR="00B05DFA" w:rsidRPr="009F5D89">
        <w:t xml:space="preserve">a Delegacija </w:t>
      </w:r>
      <w:r w:rsidRPr="009F5D89">
        <w:t xml:space="preserve">EU u BiH, kako bi se stvorile pretpostavke za potpisivanje ugovora u okviru </w:t>
      </w:r>
      <w:r w:rsidR="00EE33D6" w:rsidRPr="009F5D89">
        <w:t>„</w:t>
      </w:r>
      <w:r w:rsidRPr="009F5D89">
        <w:t>Paketa energetske podrške Europske unije Bosni i Hercegovini u cilju ublažavanja negativnog socio-ekonomskog utjecaja energetske krize</w:t>
      </w:r>
      <w:r w:rsidR="00C6650C" w:rsidRPr="009F5D89">
        <w:t>“</w:t>
      </w:r>
      <w:r w:rsidR="0029506C" w:rsidRPr="009F5D89">
        <w:t>.</w:t>
      </w:r>
      <w:r w:rsidR="0029506C" w:rsidRPr="00CF5B5E">
        <w:t xml:space="preserve"> Evropska unija je kroz ovaj paket, u okviru Instrumenta za predpristupnu pomoć (IPA III za 2023. godinu</w:t>
      </w:r>
      <w:r w:rsidR="00D73954">
        <w:t>)</w:t>
      </w:r>
      <w:r w:rsidR="0029506C" w:rsidRPr="00CF5B5E">
        <w:t xml:space="preserve">, izdvojila 70 miliona eura bespovratne pomoći za Bosnu i Hercegovinu, a od ukupnog iznosa </w:t>
      </w:r>
      <w:r w:rsidR="0029506C" w:rsidRPr="00CF5B5E">
        <w:rPr>
          <w:b/>
          <w:bCs/>
        </w:rPr>
        <w:t>20 miliona eura namijenjeno je za podršku domaćinstvima i preduzećima u uvođenju mjera energetske efikasnosti</w:t>
      </w:r>
      <w:r w:rsidR="0029506C" w:rsidRPr="00CF5B5E">
        <w:t xml:space="preserve">. </w:t>
      </w:r>
      <w:r w:rsidR="00B05DFA" w:rsidRPr="00CF5B5E">
        <w:t>Od ukupnog iznosa sredstava namijenjenih BiH, predviđen</w:t>
      </w:r>
      <w:r w:rsidR="00580B2A" w:rsidRPr="00CF5B5E">
        <w:t>a</w:t>
      </w:r>
      <w:r w:rsidR="00B05DFA" w:rsidRPr="00CF5B5E">
        <w:t xml:space="preserve"> je </w:t>
      </w:r>
      <w:r w:rsidR="00580B2A" w:rsidRPr="00CF5B5E">
        <w:t xml:space="preserve">raspodjela sredstava </w:t>
      </w:r>
      <w:r w:rsidR="00B05DFA" w:rsidRPr="00CF5B5E">
        <w:t>između entiteta i Brčko Distrikta i to u omjeru 66 posto za FBiH, 33 posto za RS i jedan posto za Brčko Distrikt.</w:t>
      </w:r>
    </w:p>
    <w:p w14:paraId="367EEF1C" w14:textId="3D034A62" w:rsidR="00485173" w:rsidRPr="00CF5B5E" w:rsidRDefault="00485173" w:rsidP="00CF5B5E">
      <w:pPr>
        <w:spacing w:before="120" w:line="240" w:lineRule="auto"/>
        <w:jc w:val="both"/>
      </w:pPr>
      <w:r w:rsidRPr="00CF5B5E">
        <w:t>U skladu sa kriterijima raspodjele</w:t>
      </w:r>
      <w:r w:rsidR="00580B2A" w:rsidRPr="00CF5B5E">
        <w:t xml:space="preserve"> i indikatorima uspješnosti provedbe mjera i ciljeva Akcionog plana</w:t>
      </w:r>
      <w:r w:rsidRPr="00CF5B5E">
        <w:t>, u Federaciji BiH planirana je finansijska podrška energ</w:t>
      </w:r>
      <w:r w:rsidR="00D73954">
        <w:t>ijske</w:t>
      </w:r>
      <w:r w:rsidRPr="00CF5B5E">
        <w:t xml:space="preserve"> efikasnosti za </w:t>
      </w:r>
      <w:r w:rsidR="001D7559">
        <w:t>minimalno</w:t>
      </w:r>
      <w:r w:rsidR="001D7559" w:rsidRPr="00CF5B5E">
        <w:t xml:space="preserve"> </w:t>
      </w:r>
      <w:r w:rsidRPr="00CF5B5E">
        <w:t xml:space="preserve">2.600 stambenih objekata (od ukupno predviđenih 4.000 u BiH), te za minimalno 264 </w:t>
      </w:r>
      <w:r w:rsidR="007D24B2">
        <w:t>MMSP</w:t>
      </w:r>
      <w:r w:rsidR="00D73954">
        <w:t xml:space="preserve"> </w:t>
      </w:r>
      <w:r w:rsidRPr="00CF5B5E">
        <w:t>radi osiguranja kontinuiteta poslovanja</w:t>
      </w:r>
      <w:r w:rsidR="00D73954">
        <w:t xml:space="preserve"> </w:t>
      </w:r>
      <w:r w:rsidRPr="00CF5B5E">
        <w:t>(od ukupno predviđenih 400 u BiH)</w:t>
      </w:r>
      <w:r w:rsidR="00580B2A" w:rsidRPr="00CF5B5E">
        <w:t>.</w:t>
      </w:r>
    </w:p>
    <w:p w14:paraId="105F334C" w14:textId="5A307C70" w:rsidR="00CF5B5E" w:rsidRPr="00CF5B5E" w:rsidRDefault="00EE33D6" w:rsidP="00CF5B5E">
      <w:pPr>
        <w:spacing w:before="120" w:line="240" w:lineRule="auto"/>
        <w:jc w:val="both"/>
        <w:sectPr w:rsidR="00CF5B5E" w:rsidRPr="00CF5B5E" w:rsidSect="00CF5B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5B5E">
        <w:t xml:space="preserve">Za potrebe provedbe ovog Akcionog plana </w:t>
      </w:r>
      <w:r w:rsidR="00485173" w:rsidRPr="00CF5B5E">
        <w:t xml:space="preserve">Vlada Federacije BiH </w:t>
      </w:r>
      <w:r w:rsidRPr="00CF5B5E">
        <w:t xml:space="preserve">je, </w:t>
      </w:r>
      <w:r w:rsidR="00485173" w:rsidRPr="00CF5B5E">
        <w:t>na prijedlog resorn</w:t>
      </w:r>
      <w:r w:rsidR="00580B2A" w:rsidRPr="00CF5B5E">
        <w:t>ih</w:t>
      </w:r>
      <w:r w:rsidR="00485173" w:rsidRPr="00CF5B5E">
        <w:t xml:space="preserve"> ministarst</w:t>
      </w:r>
      <w:r w:rsidR="00580B2A" w:rsidRPr="00CF5B5E">
        <w:t>a</w:t>
      </w:r>
      <w:r w:rsidR="00485173" w:rsidRPr="00CF5B5E">
        <w:t>va</w:t>
      </w:r>
      <w:r w:rsidR="00580B2A" w:rsidRPr="00CF5B5E">
        <w:t xml:space="preserve"> (Federalno ministarstvo prostornog uređenja i Federalno ministarstv</w:t>
      </w:r>
      <w:r w:rsidR="00DC427E" w:rsidRPr="00CF5B5E">
        <w:t>o</w:t>
      </w:r>
      <w:r w:rsidR="00580B2A" w:rsidRPr="00CF5B5E">
        <w:t xml:space="preserve"> razvoja, poduzetništva i obrta</w:t>
      </w:r>
      <w:r w:rsidR="00DC427E" w:rsidRPr="00CF5B5E">
        <w:t>)</w:t>
      </w:r>
      <w:r w:rsidR="00485173" w:rsidRPr="00CF5B5E">
        <w:t xml:space="preserve">, donijela </w:t>
      </w:r>
      <w:r w:rsidR="00485173" w:rsidRPr="00C6650C">
        <w:rPr>
          <w:b/>
          <w:bCs/>
        </w:rPr>
        <w:t>Odluk</w:t>
      </w:r>
      <w:r w:rsidR="001D7559">
        <w:rPr>
          <w:b/>
          <w:bCs/>
        </w:rPr>
        <w:t>e</w:t>
      </w:r>
      <w:r w:rsidR="00485173" w:rsidRPr="00C6650C">
        <w:rPr>
          <w:b/>
          <w:bCs/>
        </w:rPr>
        <w:t xml:space="preserve"> o usvajanju </w:t>
      </w:r>
      <w:r w:rsidR="001D7559">
        <w:rPr>
          <w:b/>
          <w:bCs/>
        </w:rPr>
        <w:t>P</w:t>
      </w:r>
      <w:r w:rsidR="00485173" w:rsidRPr="00C6650C">
        <w:rPr>
          <w:b/>
          <w:bCs/>
        </w:rPr>
        <w:t>rograma utroška sredstava "Tekući transferi drugim nivoima vlasti i fondovima - podrška Evropske unije Bosni i Hercegovini u cilju</w:t>
      </w:r>
      <w:r w:rsidR="00CF5454">
        <w:rPr>
          <w:b/>
          <w:bCs/>
        </w:rPr>
        <w:t xml:space="preserve"> ublažavanja negativnog socio-</w:t>
      </w:r>
      <w:r w:rsidR="00485173" w:rsidRPr="00C6650C">
        <w:rPr>
          <w:b/>
          <w:bCs/>
        </w:rPr>
        <w:t>ekonomskog uticaja energetske krize"</w:t>
      </w:r>
      <w:r w:rsidR="00485173" w:rsidRPr="00CF5B5E">
        <w:t xml:space="preserve"> </w:t>
      </w:r>
      <w:r w:rsidR="001D7559">
        <w:t>i istima</w:t>
      </w:r>
      <w:r w:rsidRPr="00CF5B5E">
        <w:t xml:space="preserve"> jasno definisala kriterije za njihovu raspodjelu.</w:t>
      </w:r>
    </w:p>
    <w:p w14:paraId="121C778D" w14:textId="7C365CEE" w:rsidR="00485173" w:rsidRPr="00CF5B5E" w:rsidRDefault="00485173" w:rsidP="00CF5B5E">
      <w:pPr>
        <w:spacing w:before="120" w:line="240" w:lineRule="auto"/>
        <w:jc w:val="both"/>
      </w:pPr>
    </w:p>
    <w:p w14:paraId="1DE45806" w14:textId="363EBFDB" w:rsidR="0029506C" w:rsidRPr="00CF5B5E" w:rsidRDefault="00DF59E3" w:rsidP="00CF5B5E">
      <w:pPr>
        <w:pBdr>
          <w:left w:val="single" w:sz="4" w:space="4" w:color="auto"/>
        </w:pBdr>
        <w:shd w:val="clear" w:color="auto" w:fill="E7E6E6" w:themeFill="background2"/>
        <w:spacing w:before="12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„</w:t>
      </w:r>
      <w:r w:rsidR="0029506C" w:rsidRPr="00CF5B5E">
        <w:rPr>
          <w:b/>
          <w:bCs/>
          <w:i/>
          <w:iCs/>
        </w:rPr>
        <w:t>Uobičajena ulaganja u energijsku efikasnost sufinansirana sredstvima EU-a obuhvataju dodatno izoliranje zgrada, energetski efikasne prozore, sisteme za toplinsku kontrolu i nadogradnje sistema grijanja.</w:t>
      </w:r>
      <w:r>
        <w:rPr>
          <w:b/>
          <w:bCs/>
          <w:i/>
          <w:iCs/>
        </w:rPr>
        <w:t>“</w:t>
      </w:r>
    </w:p>
    <w:p w14:paraId="7DA48DE3" w14:textId="1122BA85" w:rsidR="009C2527" w:rsidRDefault="007D24B2" w:rsidP="00CF5B5E">
      <w:pPr>
        <w:spacing w:before="120" w:line="240" w:lineRule="auto"/>
        <w:jc w:val="both"/>
      </w:pPr>
      <w:r>
        <w:t xml:space="preserve">U okviru mjere </w:t>
      </w:r>
      <w:r w:rsidRPr="007D24B2">
        <w:rPr>
          <w:lang w:val="bs-Latn-BA"/>
        </w:rPr>
        <w:t>„</w:t>
      </w:r>
      <w:r w:rsidRPr="007D24B2">
        <w:rPr>
          <w:b/>
          <w:bCs/>
          <w:lang w:val="bs-Latn-BA"/>
        </w:rPr>
        <w:t>Provođenje mjera energijske efikasnosti u stambenim objektima“</w:t>
      </w:r>
      <w:r>
        <w:rPr>
          <w:b/>
          <w:bCs/>
          <w:lang w:val="bs-Latn-BA"/>
        </w:rPr>
        <w:t xml:space="preserve"> </w:t>
      </w:r>
      <w:r>
        <w:t xml:space="preserve">planirana je </w:t>
      </w:r>
      <w:r w:rsidR="00145ABF" w:rsidRPr="00CF5B5E">
        <w:t xml:space="preserve">izrada toplotne izolacije na </w:t>
      </w:r>
      <w:r w:rsidR="001D7559">
        <w:t>vanjskim zidovima</w:t>
      </w:r>
      <w:r w:rsidR="00145ABF" w:rsidRPr="00CF5B5E">
        <w:t>,  zamjena stolarije na stambenim objektima i ugradnja savremenih sistema za zagrijavanje objekata i pripremu sanitarne vode</w:t>
      </w:r>
      <w:r w:rsidR="005950BA" w:rsidRPr="00CF5B5E">
        <w:t xml:space="preserve">. Namjena finansijskih sredstava za </w:t>
      </w:r>
      <w:r>
        <w:t xml:space="preserve">mjeru </w:t>
      </w:r>
      <w:r w:rsidRPr="007D24B2">
        <w:rPr>
          <w:lang w:val="en-US"/>
        </w:rPr>
        <w:t>„</w:t>
      </w:r>
      <w:proofErr w:type="spellStart"/>
      <w:r w:rsidRPr="007D24B2">
        <w:rPr>
          <w:b/>
          <w:bCs/>
          <w:lang w:val="en-US"/>
        </w:rPr>
        <w:t>Podrška</w:t>
      </w:r>
      <w:proofErr w:type="spellEnd"/>
      <w:r w:rsidRPr="007D24B2">
        <w:rPr>
          <w:b/>
          <w:bCs/>
          <w:lang w:val="en-US"/>
        </w:rPr>
        <w:t xml:space="preserve"> </w:t>
      </w:r>
      <w:proofErr w:type="spellStart"/>
      <w:r w:rsidRPr="007D24B2">
        <w:rPr>
          <w:b/>
          <w:bCs/>
          <w:lang w:val="en-US"/>
        </w:rPr>
        <w:t>mikro</w:t>
      </w:r>
      <w:proofErr w:type="spellEnd"/>
      <w:r w:rsidRPr="007D24B2">
        <w:rPr>
          <w:b/>
          <w:bCs/>
          <w:lang w:val="en-US"/>
        </w:rPr>
        <w:t xml:space="preserve">, </w:t>
      </w:r>
      <w:proofErr w:type="spellStart"/>
      <w:r w:rsidRPr="007D24B2">
        <w:rPr>
          <w:b/>
          <w:bCs/>
          <w:lang w:val="en-US"/>
        </w:rPr>
        <w:t>malim</w:t>
      </w:r>
      <w:proofErr w:type="spellEnd"/>
      <w:r w:rsidRPr="007D24B2">
        <w:rPr>
          <w:b/>
          <w:bCs/>
          <w:lang w:val="en-US"/>
        </w:rPr>
        <w:t xml:space="preserve"> </w:t>
      </w:r>
      <w:proofErr w:type="spellStart"/>
      <w:r w:rsidRPr="007D24B2">
        <w:rPr>
          <w:b/>
          <w:bCs/>
          <w:lang w:val="en-US"/>
        </w:rPr>
        <w:t>i</w:t>
      </w:r>
      <w:proofErr w:type="spellEnd"/>
      <w:r w:rsidRPr="007D24B2">
        <w:rPr>
          <w:b/>
          <w:bCs/>
          <w:lang w:val="en-US"/>
        </w:rPr>
        <w:t xml:space="preserve"> </w:t>
      </w:r>
      <w:proofErr w:type="spellStart"/>
      <w:r w:rsidRPr="007D24B2">
        <w:rPr>
          <w:b/>
          <w:bCs/>
          <w:lang w:val="en-US"/>
        </w:rPr>
        <w:t>srednjim</w:t>
      </w:r>
      <w:proofErr w:type="spellEnd"/>
      <w:r w:rsidRPr="007D24B2">
        <w:rPr>
          <w:b/>
          <w:bCs/>
          <w:lang w:val="en-US"/>
        </w:rPr>
        <w:t xml:space="preserve"> </w:t>
      </w:r>
      <w:proofErr w:type="spellStart"/>
      <w:r w:rsidRPr="007D24B2">
        <w:rPr>
          <w:b/>
          <w:bCs/>
          <w:lang w:val="en-US"/>
        </w:rPr>
        <w:t>preduzećima</w:t>
      </w:r>
      <w:proofErr w:type="spellEnd"/>
      <w:r w:rsidRPr="007D24B2">
        <w:rPr>
          <w:lang w:val="en-US"/>
        </w:rPr>
        <w:t>“</w:t>
      </w:r>
      <w:r w:rsidR="005950BA" w:rsidRPr="00CF5B5E">
        <w:t xml:space="preserve"> odnosi se na izgradnju solarnih panela </w:t>
      </w:r>
      <w:r w:rsidR="001D7559">
        <w:t xml:space="preserve">za proizvodnju električne energije za sopstvene potrebe </w:t>
      </w:r>
      <w:r w:rsidR="005950BA" w:rsidRPr="00CF5B5E">
        <w:t>na poslovno-proizvodnim objektima, poboljšanje energijskih karakteristika objekata, ugradnju okolinski prihvatljivih i ekonomsko opravdanih sistema grijanja, hlađenja i klimatizacije, povećanje energijske efikas</w:t>
      </w:r>
      <w:r w:rsidR="00F7670B">
        <w:t>nosti proizvodnih procesa i dr</w:t>
      </w:r>
      <w:r w:rsidR="005950BA" w:rsidRPr="00CF5B5E">
        <w:t xml:space="preserve">. </w:t>
      </w:r>
    </w:p>
    <w:p w14:paraId="42C1BFB5" w14:textId="7C5A2E05" w:rsidR="0029506C" w:rsidRPr="00CF5B5E" w:rsidRDefault="00145ABF" w:rsidP="00CF5B5E">
      <w:pPr>
        <w:spacing w:before="120" w:line="240" w:lineRule="auto"/>
        <w:jc w:val="both"/>
      </w:pPr>
      <w:r w:rsidRPr="00CF5B5E">
        <w:t xml:space="preserve">Korisnicima </w:t>
      </w:r>
      <w:r w:rsidR="005950BA" w:rsidRPr="00CF5B5E">
        <w:t xml:space="preserve">u stambenom sektoru </w:t>
      </w:r>
      <w:r w:rsidR="00CC543D">
        <w:t xml:space="preserve">se dodjeljuje </w:t>
      </w:r>
      <w:r w:rsidRPr="00CF5B5E">
        <w:t>50 posto vrijednosti projekta, ili maksimalno 5.000 KM</w:t>
      </w:r>
      <w:r w:rsidR="005950BA" w:rsidRPr="00CF5B5E">
        <w:t xml:space="preserve">, dok je za MMSP maksimalni iznos sufinansiranja (bespovratnih sredstava) koji se može ostvariti 50% od visine ukupne investicije, </w:t>
      </w:r>
      <w:r w:rsidR="00CC543D">
        <w:t xml:space="preserve">i to </w:t>
      </w:r>
      <w:r w:rsidR="005950BA" w:rsidRPr="00CF5B5E">
        <w:t xml:space="preserve">u rasponu od 5.000 KM do maksimalnih </w:t>
      </w:r>
      <w:r w:rsidR="001D7559">
        <w:t>5</w:t>
      </w:r>
      <w:r w:rsidR="005950BA" w:rsidRPr="00CF5B5E">
        <w:t>0.000 KM</w:t>
      </w:r>
      <w:r w:rsidR="001D7559">
        <w:t>, u zavisnosti od veličine preduzeća</w:t>
      </w:r>
      <w:r w:rsidR="005950BA" w:rsidRPr="00CF5B5E">
        <w:t>.</w:t>
      </w:r>
    </w:p>
    <w:p w14:paraId="2BA5A791" w14:textId="609601C8" w:rsidR="00CF5B5E" w:rsidRPr="00983BFF" w:rsidRDefault="00485173" w:rsidP="00983BFF">
      <w:pPr>
        <w:spacing w:before="120" w:line="240" w:lineRule="auto"/>
        <w:jc w:val="both"/>
      </w:pPr>
      <w:r w:rsidRPr="00CF5B5E">
        <w:t xml:space="preserve">Predviđeni </w:t>
      </w:r>
      <w:r w:rsidRPr="00CC543D">
        <w:rPr>
          <w:b/>
        </w:rPr>
        <w:t>način dodjele sredstava je putem javn</w:t>
      </w:r>
      <w:r w:rsidR="00EE33D6" w:rsidRPr="00CC543D">
        <w:rPr>
          <w:b/>
        </w:rPr>
        <w:t>ih</w:t>
      </w:r>
      <w:r w:rsidRPr="00CC543D">
        <w:rPr>
          <w:b/>
        </w:rPr>
        <w:t xml:space="preserve"> poziva</w:t>
      </w:r>
      <w:r w:rsidR="00F1467C">
        <w:t xml:space="preserve"> </w:t>
      </w:r>
      <w:r w:rsidR="00F1467C" w:rsidRPr="00F1467C">
        <w:t>za dodjelu sredstava iz budžetske podrške EU za provođenje mjera energijske efikasnosti u stambenim objektima za 2023/24. godinu i za dodjelu sredstava iz budžetske podrške EU za provođenje mjera energijske efikasnosti u mikro, malim i srednjim subjektima male privrede za 2023/24. godinu</w:t>
      </w:r>
      <w:r w:rsidR="00EE33D6" w:rsidRPr="00CF5B5E">
        <w:t>,</w:t>
      </w:r>
      <w:r w:rsidRPr="00CF5B5E">
        <w:t xml:space="preserve"> za čiju provedbu je nadležan Fond </w:t>
      </w:r>
      <w:r w:rsidR="00EE33D6" w:rsidRPr="00CF5B5E">
        <w:t xml:space="preserve">za zaštitu okoliša Federacije BiH </w:t>
      </w:r>
      <w:r w:rsidR="00E30B34" w:rsidRPr="00CF5B5E">
        <w:t>u svojstvu implementacione jedinice.</w:t>
      </w:r>
    </w:p>
    <w:p w14:paraId="13881753" w14:textId="2A4E9072" w:rsidR="00DE7375" w:rsidRDefault="00485173" w:rsidP="00CF5B5E">
      <w:pPr>
        <w:pStyle w:val="Heading1"/>
        <w:pBdr>
          <w:left w:val="single" w:sz="4" w:space="4" w:color="auto"/>
          <w:bottom w:val="none" w:sz="0" w:space="0" w:color="auto"/>
        </w:pBdr>
        <w:shd w:val="clear" w:color="auto" w:fill="E7E6E6" w:themeFill="background2"/>
        <w:spacing w:before="120" w:after="120"/>
        <w:jc w:val="both"/>
        <w:rPr>
          <w:b/>
          <w:bCs/>
          <w:sz w:val="22"/>
          <w:szCs w:val="22"/>
        </w:rPr>
      </w:pPr>
      <w:r w:rsidRPr="00CF5B5E">
        <w:rPr>
          <w:b/>
          <w:bCs/>
          <w:sz w:val="22"/>
          <w:szCs w:val="22"/>
        </w:rPr>
        <w:t xml:space="preserve">EU i resorne institucije prepoznale važnost transparentne, efikasne i blagovremene implementacije dodijeljene EU finansijske podrške BiH/Federaciji BiH, u ovom slučaju po prvi put putem domaće institucije </w:t>
      </w:r>
      <w:r w:rsidR="009B32DF">
        <w:rPr>
          <w:b/>
          <w:bCs/>
          <w:sz w:val="22"/>
          <w:szCs w:val="22"/>
        </w:rPr>
        <w:t>-</w:t>
      </w:r>
      <w:r w:rsidRPr="00CF5B5E">
        <w:rPr>
          <w:b/>
          <w:bCs/>
          <w:sz w:val="22"/>
          <w:szCs w:val="22"/>
        </w:rPr>
        <w:t xml:space="preserve"> Fonda</w:t>
      </w:r>
      <w:r w:rsidR="009C2527">
        <w:rPr>
          <w:b/>
          <w:bCs/>
          <w:sz w:val="22"/>
          <w:szCs w:val="22"/>
        </w:rPr>
        <w:t xml:space="preserve"> za zaštitu okoliša Federacije BiH</w:t>
      </w:r>
    </w:p>
    <w:p w14:paraId="083E2A1F" w14:textId="2AA46E61" w:rsidR="007F093B" w:rsidRPr="007F093B" w:rsidRDefault="007F093B" w:rsidP="00853DF4">
      <w:pPr>
        <w:spacing w:before="120" w:line="240" w:lineRule="auto"/>
        <w:jc w:val="both"/>
      </w:pPr>
      <w:r w:rsidRPr="007F093B">
        <w:t>Na temelju usvojenog Akcionog plana, kao i Odluke o usvajanju Programa utroška sredstava, u 2023. godini Fond je obavio sve pripremne aktivnosti u svrhu realizacije Programa utroška sredstava, koje su podrazumijevale osiguranje budžetske pozicije na koju se doznačavaju finansijska sredstva iz budžeta fed</w:t>
      </w:r>
      <w:r w:rsidR="001D7559">
        <w:t xml:space="preserve">eralnih </w:t>
      </w:r>
      <w:r w:rsidRPr="007F093B">
        <w:t xml:space="preserve">ministarstava, otvaranje namjenskog bankovnog računa, raspisivanje javih poziva, definisanje općih pravila i internih procedura i metodologije implementacije aktivnosti, te uspostavu digitalne platforme </w:t>
      </w:r>
      <w:r w:rsidR="00F7670B">
        <w:t>„</w:t>
      </w:r>
      <w:r w:rsidRPr="007F093B">
        <w:t>e-prijava</w:t>
      </w:r>
      <w:r w:rsidR="00F7670B">
        <w:t>“</w:t>
      </w:r>
      <w:r w:rsidRPr="007F093B">
        <w:t>.</w:t>
      </w:r>
      <w:r>
        <w:t xml:space="preserve"> </w:t>
      </w:r>
      <w:r w:rsidRPr="007F093B">
        <w:t xml:space="preserve">Definisani su načini i dinamika saradnje sa UNDP-om koji </w:t>
      </w:r>
      <w:r>
        <w:t>pod</w:t>
      </w:r>
      <w:r w:rsidRPr="007F093B">
        <w:t>sredstvom angažmana in</w:t>
      </w:r>
      <w:r>
        <w:t>ženjera/stručnih lica, osiguravaju</w:t>
      </w:r>
      <w:r w:rsidRPr="007F093B">
        <w:t xml:space="preserve"> tehničku podršku u funkciji terenske kontrole svih krajnjih korisnika sa kojima je sklopljen ugovor o dodjeli sredstava</w:t>
      </w:r>
      <w:r w:rsidR="00F7670B">
        <w:t>.</w:t>
      </w:r>
    </w:p>
    <w:p w14:paraId="27C1EB5F" w14:textId="243CEB45" w:rsidR="00FC1BCD" w:rsidRPr="00014F3E" w:rsidRDefault="00FC1BCD" w:rsidP="00037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both"/>
        <w:rPr>
          <w:rFonts w:cstheme="minorHAnsi"/>
        </w:rPr>
      </w:pPr>
      <w:r w:rsidRPr="00014F3E">
        <w:rPr>
          <w:rFonts w:cstheme="minorHAnsi"/>
        </w:rPr>
        <w:t xml:space="preserve">U okviru </w:t>
      </w:r>
      <w:r w:rsidR="007F093B" w:rsidRPr="00014F3E">
        <w:rPr>
          <w:rFonts w:cstheme="minorHAnsi"/>
        </w:rPr>
        <w:t xml:space="preserve">dva </w:t>
      </w:r>
      <w:r w:rsidRPr="00014F3E">
        <w:rPr>
          <w:rFonts w:cstheme="minorHAnsi"/>
        </w:rPr>
        <w:t>javna poziva namijenjena za fizička lica, za sufinansiranje mjera energetske efikasnosti i na individualnim stambenim objektima i stanovima u 2023. i 2024. godini pristigl</w:t>
      </w:r>
      <w:r w:rsidR="00310CFC" w:rsidRPr="00014F3E">
        <w:rPr>
          <w:rFonts w:cstheme="minorHAnsi"/>
        </w:rPr>
        <w:t>e su</w:t>
      </w:r>
      <w:r w:rsidR="00014F3E" w:rsidRPr="00014F3E">
        <w:rPr>
          <w:rFonts w:cstheme="minorHAnsi"/>
        </w:rPr>
        <w:t xml:space="preserve"> </w:t>
      </w:r>
      <w:r w:rsidR="001D7559" w:rsidRPr="00014F3E">
        <w:rPr>
          <w:rFonts w:cstheme="minorHAnsi"/>
        </w:rPr>
        <w:t xml:space="preserve">6292 </w:t>
      </w:r>
      <w:r w:rsidRPr="00014F3E">
        <w:rPr>
          <w:rFonts w:cstheme="minorHAnsi"/>
        </w:rPr>
        <w:t>prijav</w:t>
      </w:r>
      <w:r w:rsidR="001D7559" w:rsidRPr="00014F3E">
        <w:rPr>
          <w:rFonts w:cstheme="minorHAnsi"/>
        </w:rPr>
        <w:t>e</w:t>
      </w:r>
      <w:r w:rsidRPr="00014F3E">
        <w:rPr>
          <w:rFonts w:cstheme="minorHAnsi"/>
        </w:rPr>
        <w:t xml:space="preserve">. Do sada su donesene odluke za ukupno </w:t>
      </w:r>
      <w:r w:rsidR="001D7559" w:rsidRPr="00014F3E">
        <w:rPr>
          <w:rFonts w:cstheme="minorHAnsi"/>
        </w:rPr>
        <w:t xml:space="preserve">5907 </w:t>
      </w:r>
      <w:r w:rsidRPr="00014F3E">
        <w:rPr>
          <w:rFonts w:cstheme="minorHAnsi"/>
        </w:rPr>
        <w:t xml:space="preserve">prijava, od čega je odobreno </w:t>
      </w:r>
      <w:r w:rsidR="001D7559" w:rsidRPr="00014F3E">
        <w:rPr>
          <w:rFonts w:cstheme="minorHAnsi"/>
        </w:rPr>
        <w:t xml:space="preserve">2966 </w:t>
      </w:r>
      <w:r w:rsidRPr="00014F3E">
        <w:rPr>
          <w:rFonts w:cstheme="minorHAnsi"/>
        </w:rPr>
        <w:t>prijava,</w:t>
      </w:r>
      <w:r w:rsidR="00310CFC" w:rsidRPr="00014F3E">
        <w:rPr>
          <w:rFonts w:cstheme="minorHAnsi"/>
        </w:rPr>
        <w:t xml:space="preserve"> čime su angažovana sva raspoloživa sredstva,</w:t>
      </w:r>
      <w:r w:rsidRPr="00014F3E">
        <w:rPr>
          <w:rFonts w:cstheme="minorHAnsi"/>
        </w:rPr>
        <w:t xml:space="preserve"> dok </w:t>
      </w:r>
      <w:r w:rsidR="001D7559" w:rsidRPr="00014F3E">
        <w:rPr>
          <w:rFonts w:cstheme="minorHAnsi"/>
        </w:rPr>
        <w:t xml:space="preserve">2941 </w:t>
      </w:r>
      <w:r w:rsidR="000E327D" w:rsidRPr="00014F3E">
        <w:rPr>
          <w:rFonts w:cstheme="minorHAnsi"/>
        </w:rPr>
        <w:t>prijava nije ispunil</w:t>
      </w:r>
      <w:r w:rsidR="00310CFC" w:rsidRPr="00014F3E">
        <w:rPr>
          <w:rFonts w:cstheme="minorHAnsi"/>
        </w:rPr>
        <w:t>a</w:t>
      </w:r>
      <w:r w:rsidR="000E327D" w:rsidRPr="00014F3E">
        <w:rPr>
          <w:rFonts w:cstheme="minorHAnsi"/>
        </w:rPr>
        <w:t xml:space="preserve"> uslove javnih</w:t>
      </w:r>
      <w:r w:rsidRPr="00014F3E">
        <w:rPr>
          <w:rFonts w:cstheme="minorHAnsi"/>
        </w:rPr>
        <w:t xml:space="preserve"> poziva. </w:t>
      </w:r>
      <w:r w:rsidR="00310CFC" w:rsidRPr="00014F3E">
        <w:rPr>
          <w:rFonts w:cstheme="minorHAnsi"/>
        </w:rPr>
        <w:t>Do danas su zaključeni ugovori u iznosu od 10.579.509,00 KM.</w:t>
      </w:r>
    </w:p>
    <w:p w14:paraId="2099F0B4" w14:textId="04F2EB66" w:rsidR="00B37C94" w:rsidRPr="00CF5B5E" w:rsidRDefault="00310CFC" w:rsidP="00037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both"/>
        <w:rPr>
          <w:rFonts w:cstheme="minorHAnsi"/>
        </w:rPr>
      </w:pPr>
      <w:r w:rsidRPr="00014F3E">
        <w:rPr>
          <w:rFonts w:cstheme="minorHAnsi"/>
        </w:rPr>
        <w:t>Š</w:t>
      </w:r>
      <w:r w:rsidR="00B37C94" w:rsidRPr="00014F3E">
        <w:rPr>
          <w:rFonts w:cstheme="minorHAnsi"/>
        </w:rPr>
        <w:t xml:space="preserve">to se tiče </w:t>
      </w:r>
      <w:r w:rsidR="000E327D" w:rsidRPr="00014F3E">
        <w:rPr>
          <w:rFonts w:cstheme="minorHAnsi"/>
        </w:rPr>
        <w:t>MMSP</w:t>
      </w:r>
      <w:r w:rsidR="00B37C94" w:rsidRPr="00014F3E">
        <w:rPr>
          <w:rFonts w:cstheme="minorHAnsi"/>
        </w:rPr>
        <w:t xml:space="preserve"> </w:t>
      </w:r>
      <w:r w:rsidR="000E327D" w:rsidRPr="00014F3E">
        <w:rPr>
          <w:rFonts w:cstheme="minorHAnsi"/>
        </w:rPr>
        <w:t xml:space="preserve">kroz dva poziva </w:t>
      </w:r>
      <w:r w:rsidRPr="00014F3E">
        <w:rPr>
          <w:rFonts w:cstheme="minorHAnsi"/>
        </w:rPr>
        <w:t xml:space="preserve">su </w:t>
      </w:r>
      <w:r w:rsidR="00B37C94" w:rsidRPr="00014F3E">
        <w:rPr>
          <w:rFonts w:cstheme="minorHAnsi"/>
        </w:rPr>
        <w:t>odobren</w:t>
      </w:r>
      <w:r w:rsidRPr="00014F3E">
        <w:rPr>
          <w:rFonts w:cstheme="minorHAnsi"/>
        </w:rPr>
        <w:t>a sredstva za 401</w:t>
      </w:r>
      <w:r w:rsidR="00B37C94" w:rsidRPr="00014F3E">
        <w:rPr>
          <w:rFonts w:cstheme="minorHAnsi"/>
        </w:rPr>
        <w:t xml:space="preserve"> od </w:t>
      </w:r>
      <w:r w:rsidRPr="00014F3E">
        <w:rPr>
          <w:rFonts w:cstheme="minorHAnsi"/>
        </w:rPr>
        <w:t>807</w:t>
      </w:r>
      <w:r w:rsidR="00B37C94" w:rsidRPr="00014F3E">
        <w:rPr>
          <w:rFonts w:cstheme="minorHAnsi"/>
        </w:rPr>
        <w:t xml:space="preserve"> pristiglih prijava. Za ove projekte Fond </w:t>
      </w:r>
      <w:r w:rsidR="00F7670B">
        <w:rPr>
          <w:rFonts w:cstheme="minorHAnsi"/>
        </w:rPr>
        <w:t>je do sada potpisao</w:t>
      </w:r>
      <w:r w:rsidR="00B37C94" w:rsidRPr="00CF5B5E">
        <w:rPr>
          <w:rFonts w:cstheme="minorHAnsi"/>
        </w:rPr>
        <w:t xml:space="preserve"> ugovore u vrijednosti od </w:t>
      </w:r>
      <w:r w:rsidR="000E189E" w:rsidRPr="000E189E">
        <w:rPr>
          <w:rFonts w:cstheme="minorHAnsi"/>
        </w:rPr>
        <w:t>10.147.921</w:t>
      </w:r>
      <w:r w:rsidR="00B37C94" w:rsidRPr="00CF5B5E">
        <w:rPr>
          <w:rFonts w:cstheme="minorHAnsi"/>
        </w:rPr>
        <w:t xml:space="preserve"> KM.</w:t>
      </w:r>
    </w:p>
    <w:p w14:paraId="3C26CBE8" w14:textId="120F8CF1" w:rsidR="00CC543D" w:rsidRPr="00DA7E01" w:rsidRDefault="00CC543D" w:rsidP="007F093B">
      <w:pPr>
        <w:spacing w:before="120" w:line="240" w:lineRule="auto"/>
        <w:jc w:val="both"/>
        <w:rPr>
          <w:rFonts w:cstheme="minorHAnsi"/>
        </w:rPr>
      </w:pPr>
      <w:r w:rsidRPr="00DA7E01">
        <w:t>Pristigle prijave na javne pozive pokazatelj su velike potrebe</w:t>
      </w:r>
      <w:r w:rsidR="00F7670B" w:rsidRPr="00DA7E01">
        <w:t>,</w:t>
      </w:r>
      <w:r w:rsidRPr="00DA7E01">
        <w:t xml:space="preserve"> ali i spremnosti građana i privrede da ulažu novac u mjere energijske</w:t>
      </w:r>
      <w:r w:rsidR="00F7670B" w:rsidRPr="00DA7E01">
        <w:t xml:space="preserve"> efikasnosti</w:t>
      </w:r>
      <w:r w:rsidRPr="00DA7E01">
        <w:t xml:space="preserve"> jer vide benefite u ovakvoj vrsti investicija. U vrlo kratkom roku zaprimljen je izrazito veliki broj prijava, gdje se može govoriti o prosječnom intenzitetu od 100 prijava/dan, te maksimumu koji je znao dosegnuti i cca 300 prijava zaprimljenih u jednom danu. </w:t>
      </w:r>
      <w:r w:rsidR="007F093B" w:rsidRPr="00DA7E01">
        <w:t>Brojne aktivnosti</w:t>
      </w:r>
      <w:r w:rsidR="00853DF4" w:rsidRPr="00DA7E01">
        <w:t>,</w:t>
      </w:r>
      <w:r w:rsidR="007F093B" w:rsidRPr="00DA7E01">
        <w:t xml:space="preserve"> uspješno implementirane u proteklom periodu</w:t>
      </w:r>
      <w:r w:rsidR="00853DF4" w:rsidRPr="00DA7E01">
        <w:t>,</w:t>
      </w:r>
      <w:r w:rsidR="007F093B" w:rsidRPr="00DA7E01">
        <w:t xml:space="preserve"> pokazale su spremnost </w:t>
      </w:r>
      <w:r w:rsidR="00853DF4" w:rsidRPr="00DA7E01">
        <w:t xml:space="preserve">i kapacitiranost </w:t>
      </w:r>
      <w:r w:rsidR="007F093B" w:rsidRPr="00DA7E01">
        <w:t>Fonda da odgovori izazovima i postavlj</w:t>
      </w:r>
      <w:r w:rsidR="00853DF4" w:rsidRPr="00DA7E01">
        <w:t xml:space="preserve">enim zadacima. </w:t>
      </w:r>
      <w:r w:rsidR="007F093B" w:rsidRPr="00DA7E01">
        <w:rPr>
          <w:rFonts w:cstheme="minorHAnsi"/>
        </w:rPr>
        <w:t>N</w:t>
      </w:r>
      <w:r w:rsidRPr="00DA7E01">
        <w:rPr>
          <w:rFonts w:cstheme="minorHAnsi"/>
        </w:rPr>
        <w:t>adamo se da će Eu</w:t>
      </w:r>
      <w:r w:rsidR="007F093B" w:rsidRPr="00DA7E01">
        <w:rPr>
          <w:rFonts w:cstheme="minorHAnsi"/>
        </w:rPr>
        <w:t>ropska unija i</w:t>
      </w:r>
      <w:r w:rsidRPr="00DA7E01">
        <w:rPr>
          <w:rFonts w:cstheme="minorHAnsi"/>
        </w:rPr>
        <w:t xml:space="preserve"> drugi međunarodni donatori i nakon okončanja ovog Programa </w:t>
      </w:r>
      <w:r w:rsidRPr="00DA7E01">
        <w:rPr>
          <w:rFonts w:cstheme="minorHAnsi"/>
        </w:rPr>
        <w:lastRenderedPageBreak/>
        <w:t xml:space="preserve">nastaviti ulagati dodatna sredstva, i zajedno sa Fondom i drugim partnerima sufinansirati aktivnosti u ovom sektoru, sve kako bi se održivost i kontinuitet finansiranja mjera EE nastavio., </w:t>
      </w:r>
    </w:p>
    <w:p w14:paraId="75BFD184" w14:textId="55BCB661" w:rsidR="007A4F77" w:rsidRDefault="00DA7E01" w:rsidP="00CF5B5E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Prijave se pregledaju</w:t>
      </w:r>
      <w:r w:rsidRPr="00CF5B5E">
        <w:rPr>
          <w:rFonts w:cstheme="minorHAnsi"/>
        </w:rPr>
        <w:t xml:space="preserve"> </w:t>
      </w:r>
      <w:r w:rsidR="00B37C94" w:rsidRPr="00CF5B5E">
        <w:rPr>
          <w:rFonts w:cstheme="minorHAnsi"/>
        </w:rPr>
        <w:t xml:space="preserve">po redoslijedu kako </w:t>
      </w:r>
      <w:r w:rsidR="00ED465B" w:rsidRPr="00CF5B5E">
        <w:rPr>
          <w:rFonts w:cstheme="minorHAnsi"/>
        </w:rPr>
        <w:t>pristižu.</w:t>
      </w:r>
      <w:r w:rsidR="009B32DF">
        <w:rPr>
          <w:rFonts w:cstheme="minorHAnsi"/>
        </w:rPr>
        <w:t xml:space="preserve"> </w:t>
      </w:r>
      <w:r w:rsidR="009B32DF" w:rsidRPr="009B32DF">
        <w:rPr>
          <w:rFonts w:cstheme="minorHAnsi"/>
        </w:rPr>
        <w:t>Prijavitelji čiji zahtjevi udovoljavaju svim uvjetima javnog poziva i za koje postoje raspoloživa sredstva</w:t>
      </w:r>
      <w:r w:rsidR="00AC46CC">
        <w:rPr>
          <w:rFonts w:cstheme="minorHAnsi"/>
        </w:rPr>
        <w:t xml:space="preserve">, uz obavijest o odbrenim sredstvima i instrukciji o daljem postupanju, </w:t>
      </w:r>
      <w:r w:rsidR="00F7670B">
        <w:rPr>
          <w:rFonts w:cstheme="minorHAnsi"/>
        </w:rPr>
        <w:t>zaprimaju</w:t>
      </w:r>
      <w:r w:rsidR="009B32DF" w:rsidRPr="009B32DF">
        <w:rPr>
          <w:rFonts w:cstheme="minorHAnsi"/>
        </w:rPr>
        <w:t xml:space="preserve"> ugovor o </w:t>
      </w:r>
      <w:r w:rsidR="009B32DF">
        <w:rPr>
          <w:rFonts w:cstheme="minorHAnsi"/>
        </w:rPr>
        <w:t>dodjeli sredstava</w:t>
      </w:r>
      <w:r w:rsidR="009B32DF" w:rsidRPr="009B32DF">
        <w:rPr>
          <w:rFonts w:cstheme="minorHAnsi"/>
        </w:rPr>
        <w:t>. Sklapanjem ugovora korisnik prihva</w:t>
      </w:r>
      <w:r w:rsidR="009B32DF">
        <w:rPr>
          <w:rFonts w:cstheme="minorHAnsi"/>
        </w:rPr>
        <w:t>t</w:t>
      </w:r>
      <w:r w:rsidR="009B32DF" w:rsidRPr="009B32DF">
        <w:rPr>
          <w:rFonts w:cstheme="minorHAnsi"/>
        </w:rPr>
        <w:t>a ugovorne uvjete i odobreno postotno učešće Fonda</w:t>
      </w:r>
      <w:r w:rsidR="009B32DF">
        <w:rPr>
          <w:rFonts w:cstheme="minorHAnsi"/>
        </w:rPr>
        <w:t>,</w:t>
      </w:r>
      <w:r w:rsidR="009B32DF" w:rsidRPr="009B32DF">
        <w:rPr>
          <w:rFonts w:cstheme="minorHAnsi"/>
        </w:rPr>
        <w:t xml:space="preserve"> te se ob</w:t>
      </w:r>
      <w:r w:rsidR="009B32DF">
        <w:rPr>
          <w:rFonts w:cstheme="minorHAnsi"/>
        </w:rPr>
        <w:t>a</w:t>
      </w:r>
      <w:r w:rsidR="009B32DF" w:rsidRPr="009B32DF">
        <w:rPr>
          <w:rFonts w:cstheme="minorHAnsi"/>
        </w:rPr>
        <w:t xml:space="preserve">vezuje uložiti preostali dio vlastitih sredstva u </w:t>
      </w:r>
      <w:r w:rsidR="009B32DF">
        <w:rPr>
          <w:rFonts w:cstheme="minorHAnsi"/>
        </w:rPr>
        <w:t>predmetni objekat/mjeru.</w:t>
      </w:r>
      <w:r w:rsidR="00E12710">
        <w:rPr>
          <w:rFonts w:cstheme="minorHAnsi"/>
        </w:rPr>
        <w:t xml:space="preserve"> </w:t>
      </w:r>
      <w:r w:rsidR="00E12710" w:rsidRPr="00E12710">
        <w:rPr>
          <w:rFonts w:cstheme="minorHAnsi"/>
        </w:rPr>
        <w:t xml:space="preserve">Prijaviteljima čije prijave ne udovoljavaju uvjetima javnog poziva Fond </w:t>
      </w:r>
      <w:r w:rsidR="00CC543D">
        <w:rPr>
          <w:rFonts w:cstheme="minorHAnsi"/>
        </w:rPr>
        <w:t>dostavlja</w:t>
      </w:r>
      <w:r w:rsidR="00E12710" w:rsidRPr="00E12710">
        <w:rPr>
          <w:rFonts w:cstheme="minorHAnsi"/>
        </w:rPr>
        <w:t xml:space="preserve"> pisanu obavijest koja </w:t>
      </w:r>
      <w:r w:rsidR="00CC543D">
        <w:rPr>
          <w:rFonts w:cstheme="minorHAnsi"/>
        </w:rPr>
        <w:t>sadrži</w:t>
      </w:r>
      <w:r w:rsidR="00E12710" w:rsidRPr="00E12710">
        <w:rPr>
          <w:rFonts w:cstheme="minorHAnsi"/>
        </w:rPr>
        <w:t xml:space="preserve"> objašnjenje razloga zbog kojih je ista odbijena.</w:t>
      </w:r>
    </w:p>
    <w:p w14:paraId="04CC6D77" w14:textId="46544049" w:rsidR="007E48C1" w:rsidRPr="00CF5B5E" w:rsidRDefault="007E48C1" w:rsidP="007A4F77">
      <w:pPr>
        <w:pStyle w:val="Heading1"/>
        <w:pBdr>
          <w:left w:val="single" w:sz="4" w:space="4" w:color="auto"/>
          <w:bottom w:val="none" w:sz="0" w:space="0" w:color="auto"/>
        </w:pBdr>
        <w:shd w:val="clear" w:color="auto" w:fill="E7E6E6" w:themeFill="background2"/>
        <w:spacing w:before="120" w:after="120"/>
        <w:jc w:val="both"/>
        <w:rPr>
          <w:b/>
          <w:bCs/>
          <w:sz w:val="22"/>
          <w:szCs w:val="22"/>
        </w:rPr>
      </w:pPr>
      <w:r w:rsidRPr="00CF5B5E">
        <w:rPr>
          <w:b/>
          <w:bCs/>
          <w:sz w:val="22"/>
          <w:szCs w:val="22"/>
        </w:rPr>
        <w:t>E prijava - platforma za sistemski pristup finansiranju mjera energ</w:t>
      </w:r>
      <w:r w:rsidR="00F7670B">
        <w:rPr>
          <w:b/>
          <w:bCs/>
          <w:sz w:val="22"/>
          <w:szCs w:val="22"/>
        </w:rPr>
        <w:t xml:space="preserve">ijske </w:t>
      </w:r>
      <w:r w:rsidRPr="00CF5B5E">
        <w:rPr>
          <w:b/>
          <w:bCs/>
          <w:sz w:val="22"/>
          <w:szCs w:val="22"/>
        </w:rPr>
        <w:t>efikasnosti</w:t>
      </w:r>
      <w:r w:rsidR="0072342C" w:rsidRPr="00CF5B5E">
        <w:rPr>
          <w:b/>
          <w:bCs/>
          <w:sz w:val="22"/>
          <w:szCs w:val="22"/>
        </w:rPr>
        <w:t xml:space="preserve"> u FBiH</w:t>
      </w:r>
    </w:p>
    <w:p w14:paraId="6CB48782" w14:textId="3AA4F3CA" w:rsidR="007E48C1" w:rsidRPr="00CF5B5E" w:rsidRDefault="007E48C1" w:rsidP="00CF5B5E">
      <w:pPr>
        <w:spacing w:before="120" w:line="240" w:lineRule="auto"/>
        <w:jc w:val="both"/>
        <w:rPr>
          <w:b/>
          <w:bCs/>
        </w:rPr>
      </w:pPr>
      <w:r w:rsidRPr="00CF5B5E">
        <w:rPr>
          <w:rFonts w:ascii="Calibri" w:hAnsi="Calibri"/>
        </w:rPr>
        <w:t>S obzirom na zadati rok implementacije aktivnosti</w:t>
      </w:r>
      <w:r w:rsidR="006203D6">
        <w:rPr>
          <w:rFonts w:ascii="Calibri" w:hAnsi="Calibri"/>
        </w:rPr>
        <w:t xml:space="preserve"> </w:t>
      </w:r>
      <w:r w:rsidRPr="00CF5B5E">
        <w:rPr>
          <w:rFonts w:ascii="Calibri" w:hAnsi="Calibri"/>
        </w:rPr>
        <w:t xml:space="preserve">i zadate indikatore uspjeha (broj korisnika koji moraju ostvariti pomoć), kao i ogroman administrativni posao koji se </w:t>
      </w:r>
      <w:r w:rsidR="0072342C" w:rsidRPr="00CF5B5E">
        <w:rPr>
          <w:rFonts w:ascii="Calibri" w:hAnsi="Calibri"/>
        </w:rPr>
        <w:t>svakodnevno provodi</w:t>
      </w:r>
      <w:r w:rsidR="00667FB4">
        <w:rPr>
          <w:rFonts w:ascii="Calibri" w:hAnsi="Calibri"/>
        </w:rPr>
        <w:t xml:space="preserve">, za potrebe realizacije dva </w:t>
      </w:r>
      <w:r w:rsidR="00AC46CC">
        <w:rPr>
          <w:rFonts w:ascii="Calibri" w:hAnsi="Calibri"/>
        </w:rPr>
        <w:t>P</w:t>
      </w:r>
      <w:r w:rsidRPr="00CF5B5E">
        <w:rPr>
          <w:rFonts w:ascii="Calibri" w:hAnsi="Calibri"/>
        </w:rPr>
        <w:t xml:space="preserve">rograma </w:t>
      </w:r>
      <w:r w:rsidR="00F7670B">
        <w:rPr>
          <w:rFonts w:ascii="Calibri" w:hAnsi="Calibri"/>
        </w:rPr>
        <w:t xml:space="preserve">na području FBiH, </w:t>
      </w:r>
      <w:r w:rsidRPr="00CF5B5E">
        <w:rPr>
          <w:rFonts w:ascii="Calibri" w:hAnsi="Calibri"/>
        </w:rPr>
        <w:t xml:space="preserve">kreirana je </w:t>
      </w:r>
      <w:r w:rsidRPr="004545AC">
        <w:rPr>
          <w:rFonts w:ascii="Calibri" w:hAnsi="Calibri"/>
          <w:b/>
        </w:rPr>
        <w:t xml:space="preserve">digitalna platforma </w:t>
      </w:r>
      <w:r w:rsidR="00667FB4">
        <w:rPr>
          <w:rFonts w:ascii="Calibri" w:hAnsi="Calibri"/>
          <w:b/>
        </w:rPr>
        <w:t>„</w:t>
      </w:r>
      <w:r w:rsidR="004545AC">
        <w:rPr>
          <w:rFonts w:ascii="Calibri" w:hAnsi="Calibri"/>
          <w:b/>
        </w:rPr>
        <w:t>E-prijava</w:t>
      </w:r>
      <w:r w:rsidR="00667FB4">
        <w:rPr>
          <w:rFonts w:ascii="Calibri" w:hAnsi="Calibri"/>
          <w:b/>
        </w:rPr>
        <w:t>“</w:t>
      </w:r>
      <w:r w:rsidR="004545AC">
        <w:rPr>
          <w:rFonts w:ascii="Calibri" w:hAnsi="Calibri"/>
          <w:b/>
        </w:rPr>
        <w:t xml:space="preserve"> </w:t>
      </w:r>
      <w:r w:rsidRPr="004545AC">
        <w:rPr>
          <w:rFonts w:ascii="Calibri" w:hAnsi="Calibri"/>
          <w:b/>
        </w:rPr>
        <w:t>putem koje se provode sve aktivnosti pri podnošenju prijave, obrade/evaluacije, komunikacije sa krajnjim korisnicima, kao i podnošenja zahtjeva za plaćanje</w:t>
      </w:r>
      <w:r w:rsidRPr="00CF5B5E">
        <w:rPr>
          <w:rFonts w:ascii="Calibri" w:hAnsi="Calibri"/>
        </w:rPr>
        <w:t xml:space="preserve">. Isto tako, u platformi se provodi i </w:t>
      </w:r>
      <w:r w:rsidRPr="004545AC">
        <w:rPr>
          <w:rFonts w:ascii="Calibri" w:hAnsi="Calibri"/>
          <w:b/>
        </w:rPr>
        <w:t>evaluacija pristiglih prijava, sistemski se generišu obavijesti prema svim krajnjim korisnicima i ugovori</w:t>
      </w:r>
      <w:r w:rsidRPr="00CF5B5E">
        <w:rPr>
          <w:rFonts w:ascii="Calibri" w:hAnsi="Calibri"/>
        </w:rPr>
        <w:t xml:space="preserve">. Nakon realizacije odobrenih sredstava, putem ove platforme podnose se </w:t>
      </w:r>
      <w:r w:rsidRPr="004545AC">
        <w:rPr>
          <w:rFonts w:ascii="Calibri" w:hAnsi="Calibri"/>
          <w:b/>
        </w:rPr>
        <w:t>zahtjevi za isplatu sredstava</w:t>
      </w:r>
      <w:r w:rsidRPr="00CF5B5E">
        <w:rPr>
          <w:rFonts w:ascii="Calibri" w:hAnsi="Calibri"/>
        </w:rPr>
        <w:t xml:space="preserve"> od strane krajnjih korisnika.</w:t>
      </w:r>
    </w:p>
    <w:p w14:paraId="049F11F3" w14:textId="31F6CF14" w:rsidR="007E48C1" w:rsidRPr="00CF5B5E" w:rsidRDefault="007E48C1" w:rsidP="00CF5B5E">
      <w:pPr>
        <w:spacing w:before="120" w:line="240" w:lineRule="auto"/>
        <w:jc w:val="both"/>
      </w:pPr>
      <w:r w:rsidRPr="00CF5B5E">
        <w:t>Platform</w:t>
      </w:r>
      <w:r w:rsidR="001E4240" w:rsidRPr="00CF5B5E">
        <w:t>a</w:t>
      </w:r>
      <w:r w:rsidRPr="00CF5B5E">
        <w:t xml:space="preserve"> </w:t>
      </w:r>
      <w:r w:rsidR="00667FB4">
        <w:t>„</w:t>
      </w:r>
      <w:r w:rsidRPr="00CF5B5E">
        <w:t>E-prijava</w:t>
      </w:r>
      <w:r w:rsidR="00667FB4">
        <w:t>“</w:t>
      </w:r>
      <w:r w:rsidRPr="00CF5B5E">
        <w:t xml:space="preserve"> </w:t>
      </w:r>
      <w:r w:rsidR="001E4240" w:rsidRPr="00CF5B5E">
        <w:t xml:space="preserve">strukturalno je i funkcionalno dizajnirana od strane Fonda, a </w:t>
      </w:r>
      <w:r w:rsidRPr="00CF5B5E">
        <w:t>priprem</w:t>
      </w:r>
      <w:r w:rsidR="001E4240" w:rsidRPr="00CF5B5E">
        <w:t>ljena</w:t>
      </w:r>
      <w:r w:rsidRPr="00CF5B5E">
        <w:t xml:space="preserve"> je </w:t>
      </w:r>
      <w:r w:rsidR="001E4240" w:rsidRPr="00CF5B5E">
        <w:t xml:space="preserve">uz pomoć </w:t>
      </w:r>
      <w:r w:rsidRPr="00CF5B5E">
        <w:t>Projek</w:t>
      </w:r>
      <w:r w:rsidR="001E4240" w:rsidRPr="00CF5B5E">
        <w:t>ta</w:t>
      </w:r>
      <w:r w:rsidRPr="00CF5B5E">
        <w:t xml:space="preserve"> Vlade Sjedinjenih Američkih Država </w:t>
      </w:r>
      <w:r w:rsidR="006203D6">
        <w:t>„</w:t>
      </w:r>
      <w:r w:rsidRPr="00CF5B5E">
        <w:t>USAID Projekat asistencije energetskom sektoru (USAID EPA)</w:t>
      </w:r>
      <w:r w:rsidR="006203D6">
        <w:t>“</w:t>
      </w:r>
      <w:r w:rsidR="001E4240" w:rsidRPr="00CF5B5E">
        <w:t xml:space="preserve">, </w:t>
      </w:r>
      <w:r w:rsidRPr="00CF5B5E">
        <w:t>te uz podršku Federalnog ministarstva energije, rudarstva i industrije.</w:t>
      </w:r>
    </w:p>
    <w:p w14:paraId="43BFBEAF" w14:textId="2E0EFC67" w:rsidR="003632FE" w:rsidRPr="00CF5B5E" w:rsidRDefault="0072342C" w:rsidP="00CF5B5E">
      <w:pPr>
        <w:spacing w:before="120" w:line="240" w:lineRule="auto"/>
        <w:jc w:val="both"/>
      </w:pPr>
      <w:r w:rsidRPr="00CF5B5E">
        <w:rPr>
          <w:b/>
          <w:bCs/>
          <w:i/>
          <w:iCs/>
        </w:rPr>
        <w:t>„</w:t>
      </w:r>
      <w:r w:rsidR="006173D9" w:rsidRPr="00CF5B5E">
        <w:rPr>
          <w:b/>
          <w:bCs/>
          <w:i/>
          <w:iCs/>
        </w:rPr>
        <w:t>Federalno ministarstvo energije, rudarstva i industrije je prepoznalo važnost transparentne, efikasne i blagovremene implementacije dod</w:t>
      </w:r>
      <w:r w:rsidR="00CF0E0B" w:rsidRPr="00CF5B5E">
        <w:rPr>
          <w:b/>
          <w:bCs/>
          <w:i/>
          <w:iCs/>
        </w:rPr>
        <w:t>i</w:t>
      </w:r>
      <w:r w:rsidR="006173D9" w:rsidRPr="00CF5B5E">
        <w:rPr>
          <w:b/>
          <w:bCs/>
          <w:i/>
          <w:iCs/>
        </w:rPr>
        <w:t xml:space="preserve">jeljene EU finansijske podrške BiH/Federaciji BiH. </w:t>
      </w:r>
      <w:r w:rsidR="00CF0E0B" w:rsidRPr="00CF5B5E">
        <w:rPr>
          <w:b/>
          <w:bCs/>
          <w:i/>
          <w:iCs/>
        </w:rPr>
        <w:t>Način podnošenja prijava na javne pozive u okviru ovog programa je isključivo elektronski i Fond je učinio veliki iskorak kada je dostavljanje e-aplikacija</w:t>
      </w:r>
      <w:r w:rsidR="006273D3">
        <w:rPr>
          <w:b/>
          <w:bCs/>
          <w:i/>
          <w:iCs/>
        </w:rPr>
        <w:t xml:space="preserve"> i upravljanje istima</w:t>
      </w:r>
      <w:r w:rsidR="00CF0E0B" w:rsidRPr="00CF5B5E">
        <w:rPr>
          <w:b/>
          <w:bCs/>
          <w:i/>
          <w:iCs/>
        </w:rPr>
        <w:t xml:space="preserve"> u pitanju. </w:t>
      </w:r>
      <w:r w:rsidR="003632FE" w:rsidRPr="00CF5B5E">
        <w:rPr>
          <w:b/>
          <w:bCs/>
          <w:i/>
          <w:iCs/>
        </w:rPr>
        <w:t xml:space="preserve">Prednosti ove platforme su da Fond </w:t>
      </w:r>
      <w:r w:rsidR="00D0478F" w:rsidRPr="00CF5B5E">
        <w:rPr>
          <w:b/>
          <w:bCs/>
          <w:i/>
          <w:iCs/>
        </w:rPr>
        <w:t xml:space="preserve">sada </w:t>
      </w:r>
      <w:r w:rsidR="006273D3">
        <w:rPr>
          <w:b/>
          <w:bCs/>
          <w:i/>
          <w:iCs/>
        </w:rPr>
        <w:t>ima ojačane IKT</w:t>
      </w:r>
      <w:r w:rsidRPr="00CF5B5E">
        <w:rPr>
          <w:b/>
          <w:bCs/>
          <w:i/>
          <w:iCs/>
        </w:rPr>
        <w:t xml:space="preserve"> kapacitete</w:t>
      </w:r>
      <w:r w:rsidR="00D0478F" w:rsidRPr="00CF5B5E">
        <w:rPr>
          <w:b/>
          <w:bCs/>
          <w:i/>
          <w:iCs/>
        </w:rPr>
        <w:t>,</w:t>
      </w:r>
      <w:r w:rsidRPr="00CF5B5E">
        <w:rPr>
          <w:b/>
          <w:bCs/>
          <w:i/>
          <w:iCs/>
        </w:rPr>
        <w:t xml:space="preserve"> te</w:t>
      </w:r>
      <w:r w:rsidR="00D7107A" w:rsidRPr="00CF5B5E">
        <w:rPr>
          <w:b/>
          <w:bCs/>
          <w:i/>
          <w:iCs/>
        </w:rPr>
        <w:t xml:space="preserve"> </w:t>
      </w:r>
      <w:r w:rsidR="00D0478F" w:rsidRPr="00CF5B5E">
        <w:rPr>
          <w:b/>
          <w:bCs/>
          <w:i/>
          <w:iCs/>
        </w:rPr>
        <w:t>kao prva federalna institucija</w:t>
      </w:r>
      <w:r w:rsidR="003632FE" w:rsidRPr="00CF5B5E">
        <w:rPr>
          <w:b/>
          <w:bCs/>
          <w:i/>
          <w:iCs/>
        </w:rPr>
        <w:t xml:space="preserve"> raspolaže informacionim </w:t>
      </w:r>
      <w:r w:rsidR="00F7670B">
        <w:rPr>
          <w:b/>
          <w:bCs/>
          <w:i/>
          <w:iCs/>
        </w:rPr>
        <w:t>sistemom, ne samo u svrhu javnih</w:t>
      </w:r>
      <w:r w:rsidR="003632FE" w:rsidRPr="00CF5B5E">
        <w:rPr>
          <w:b/>
          <w:bCs/>
          <w:i/>
          <w:iCs/>
        </w:rPr>
        <w:t xml:space="preserve"> poziva za 2023.</w:t>
      </w:r>
      <w:r w:rsidR="00F7670B">
        <w:rPr>
          <w:b/>
          <w:bCs/>
          <w:i/>
          <w:iCs/>
        </w:rPr>
        <w:t xml:space="preserve"> i 2024.</w:t>
      </w:r>
      <w:r w:rsidR="003632FE" w:rsidRPr="00CF5B5E">
        <w:rPr>
          <w:b/>
          <w:bCs/>
          <w:i/>
          <w:iCs/>
        </w:rPr>
        <w:t xml:space="preserve"> godinu, već i za sve buduće programe koje bude imala na raspolaganju za prijavu, realizaciju i praćenje projekata i programa u svrhu implementacije mjera energijske efikasnosti</w:t>
      </w:r>
      <w:r w:rsidR="00D7107A" w:rsidRPr="00CF5B5E">
        <w:rPr>
          <w:b/>
          <w:bCs/>
          <w:i/>
          <w:iCs/>
        </w:rPr>
        <w:t xml:space="preserve"> na teritoriji FBiH.</w:t>
      </w:r>
      <w:r w:rsidRPr="00CF5B5E">
        <w:rPr>
          <w:b/>
          <w:bCs/>
          <w:i/>
          <w:iCs/>
        </w:rPr>
        <w:t>“</w:t>
      </w:r>
      <w:r w:rsidR="00D0478F" w:rsidRPr="00CF5B5E">
        <w:t>, i</w:t>
      </w:r>
      <w:r w:rsidRPr="00CF5B5E">
        <w:t xml:space="preserve">zjavila je Jasmina Kafedžić, rukovodilac Projektnog tima za realizaciju Programa i članica Radne grupe za praćenje i implementaciju predmetne budžetske podrške ispred Fonda. </w:t>
      </w:r>
    </w:p>
    <w:p w14:paraId="7DD7771F" w14:textId="77777777" w:rsidR="00EE33D6" w:rsidRPr="00CF5B5E" w:rsidRDefault="00EE33D6" w:rsidP="00CF5B5E">
      <w:pPr>
        <w:pStyle w:val="Heading1"/>
        <w:pBdr>
          <w:left w:val="single" w:sz="4" w:space="4" w:color="auto"/>
          <w:bottom w:val="none" w:sz="0" w:space="0" w:color="auto"/>
        </w:pBdr>
        <w:shd w:val="clear" w:color="auto" w:fill="E7E6E6" w:themeFill="background2"/>
        <w:spacing w:before="120" w:after="120"/>
        <w:jc w:val="both"/>
        <w:rPr>
          <w:b/>
          <w:bCs/>
          <w:sz w:val="22"/>
          <w:szCs w:val="22"/>
        </w:rPr>
      </w:pPr>
      <w:r w:rsidRPr="00CF5B5E">
        <w:rPr>
          <w:b/>
          <w:bCs/>
          <w:sz w:val="22"/>
          <w:szCs w:val="22"/>
        </w:rPr>
        <w:t>Podrška korisnicima</w:t>
      </w:r>
    </w:p>
    <w:p w14:paraId="4E01C8C9" w14:textId="6529628C" w:rsidR="00EE33D6" w:rsidRPr="00CF5B5E" w:rsidRDefault="00145ABF" w:rsidP="00CF5B5E">
      <w:pPr>
        <w:spacing w:before="120" w:line="240" w:lineRule="auto"/>
        <w:jc w:val="both"/>
      </w:pPr>
      <w:r w:rsidRPr="00CF5B5E">
        <w:t xml:space="preserve">S obzirom na višestruke i dugoročne koristi implementacije mjera </w:t>
      </w:r>
      <w:r w:rsidR="00AC46CC" w:rsidRPr="00CF5B5E">
        <w:t>ener</w:t>
      </w:r>
      <w:r w:rsidR="00AC46CC">
        <w:t>gij</w:t>
      </w:r>
      <w:r w:rsidR="00AC46CC" w:rsidRPr="00CF5B5E">
        <w:t xml:space="preserve">ske </w:t>
      </w:r>
      <w:r w:rsidRPr="00CF5B5E">
        <w:t xml:space="preserve">efikasnosti, osnaživanje pojedinaca i preduzeća je od velike važnosti, a za šta je neophodno pravilno razumijevanje adekvatne pripreme prijavne dokumentacije i samog procesa prijave. </w:t>
      </w:r>
      <w:r w:rsidR="00EE33D6" w:rsidRPr="00CF5B5E">
        <w:t>Tokom trajanja Poziva, kao i nakon zatvaranja poziva, korisnicima je</w:t>
      </w:r>
      <w:r w:rsidRPr="00CF5B5E">
        <w:t xml:space="preserve"> od strane Fonda </w:t>
      </w:r>
      <w:r w:rsidR="00EE33D6" w:rsidRPr="00CF5B5E">
        <w:t xml:space="preserve">bila dostupna podrška i tehnička pomoć putem telefona, </w:t>
      </w:r>
      <w:r w:rsidR="000E327D">
        <w:t>koja je podrazumijevala kontinuiranu raspoloživost</w:t>
      </w:r>
      <w:r w:rsidR="00EE33D6" w:rsidRPr="00CF5B5E">
        <w:t xml:space="preserve"> projektnog tima ispred Fonda</w:t>
      </w:r>
      <w:r w:rsidR="000E327D">
        <w:t xml:space="preserve"> u periodu 2023-2024 godine</w:t>
      </w:r>
      <w:r w:rsidR="00EE33D6" w:rsidRPr="00CF5B5E">
        <w:t xml:space="preserve">. </w:t>
      </w:r>
    </w:p>
    <w:p w14:paraId="3580AFD8" w14:textId="28964BFD" w:rsidR="00EE33D6" w:rsidRPr="00CF5B5E" w:rsidRDefault="00EE33D6" w:rsidP="00CF5B5E">
      <w:pPr>
        <w:spacing w:before="120" w:line="240" w:lineRule="auto"/>
        <w:jc w:val="both"/>
      </w:pPr>
      <w:r w:rsidRPr="00CF5B5E">
        <w:t xml:space="preserve">Pored telefonske, u svrhu podrške i bolje prohodnosti u komunikaciji, korisnicima </w:t>
      </w:r>
      <w:r w:rsidR="00AC46CC">
        <w:t>su</w:t>
      </w:r>
      <w:r w:rsidRPr="00CF5B5E">
        <w:t>e na raspolaganju i elektronska podrška (</w:t>
      </w:r>
      <w:hyperlink r:id="rId9" w:history="1">
        <w:r w:rsidRPr="00CF5B5E">
          <w:t>eprijava.ss@fzofbih.org.ba</w:t>
        </w:r>
      </w:hyperlink>
      <w:r w:rsidR="00AC46CC">
        <w:t xml:space="preserve"> i eprijava.mmsp@fzofbih.org.ba</w:t>
      </w:r>
      <w:r w:rsidRPr="00CF5B5E">
        <w:t>)</w:t>
      </w:r>
      <w:r w:rsidR="00AC46CC">
        <w:t>.</w:t>
      </w:r>
    </w:p>
    <w:p w14:paraId="413657A7" w14:textId="10AC2EED" w:rsidR="007E48C1" w:rsidRDefault="00EE33D6" w:rsidP="00CF5B5E">
      <w:pPr>
        <w:spacing w:before="120" w:line="240" w:lineRule="auto"/>
        <w:jc w:val="both"/>
      </w:pPr>
      <w:r w:rsidRPr="00CF5B5E">
        <w:t>Pored navedenog, sve uočene učestale razloge neus</w:t>
      </w:r>
      <w:r w:rsidR="000E327D">
        <w:t>klađenosti prijava sa uslovima j</w:t>
      </w:r>
      <w:r w:rsidRPr="00CF5B5E">
        <w:t>avnog poziva, a sa ciljem minimiziranja njihovog daljeg ponavljanja, Fond je u vidu „važnog obavještenja“ kontinuirano objavljivao na web portalu e-prijava u vidu važne instrukcije budućim korisnicima.</w:t>
      </w:r>
    </w:p>
    <w:p w14:paraId="1208B4E1" w14:textId="77777777" w:rsidR="00EC1008" w:rsidRPr="00EC1008" w:rsidRDefault="00AC46CC" w:rsidP="00AC46CC">
      <w:pPr>
        <w:spacing w:before="120" w:line="240" w:lineRule="auto"/>
        <w:jc w:val="both"/>
        <w:rPr>
          <w:rFonts w:cstheme="minorHAnsi"/>
        </w:rPr>
      </w:pPr>
      <w:r w:rsidRPr="00EC1008">
        <w:rPr>
          <w:rFonts w:cstheme="minorHAnsi"/>
        </w:rPr>
        <w:t xml:space="preserve">Na temelju </w:t>
      </w:r>
      <w:r w:rsidR="00EF6973" w:rsidRPr="00EC1008">
        <w:rPr>
          <w:rFonts w:cstheme="minorHAnsi"/>
        </w:rPr>
        <w:t xml:space="preserve">prethodnog iskustva, a </w:t>
      </w:r>
      <w:r w:rsidRPr="00EC1008">
        <w:rPr>
          <w:rFonts w:cstheme="minorHAnsi"/>
        </w:rPr>
        <w:t xml:space="preserve">obzirom na sve obaveze BiH na putu ka Evropskoj uniji koje će mnogo koštati, domaća sredstva nisu dostatna. Rješenje je u izgradnji vlastitih kapaciteta </w:t>
      </w:r>
      <w:r w:rsidR="00EF6973" w:rsidRPr="00EC1008">
        <w:rPr>
          <w:rFonts w:cstheme="minorHAnsi"/>
        </w:rPr>
        <w:t>i</w:t>
      </w:r>
      <w:r w:rsidRPr="00EC1008">
        <w:rPr>
          <w:rFonts w:cstheme="minorHAnsi"/>
        </w:rPr>
        <w:t xml:space="preserve"> priprem</w:t>
      </w:r>
      <w:r w:rsidR="00EF6973" w:rsidRPr="00EC1008">
        <w:rPr>
          <w:rFonts w:cstheme="minorHAnsi"/>
        </w:rPr>
        <w:t>e</w:t>
      </w:r>
      <w:r w:rsidRPr="00EC1008">
        <w:rPr>
          <w:rFonts w:cstheme="minorHAnsi"/>
        </w:rPr>
        <w:t xml:space="preserve"> kvalitetn</w:t>
      </w:r>
      <w:r w:rsidR="00EF6973" w:rsidRPr="00EC1008">
        <w:rPr>
          <w:rFonts w:cstheme="minorHAnsi"/>
        </w:rPr>
        <w:t>ih</w:t>
      </w:r>
      <w:r w:rsidRPr="00EC1008">
        <w:rPr>
          <w:rFonts w:cstheme="minorHAnsi"/>
        </w:rPr>
        <w:t xml:space="preserve"> </w:t>
      </w:r>
      <w:r w:rsidRPr="00EC1008">
        <w:rPr>
          <w:rFonts w:cstheme="minorHAnsi"/>
        </w:rPr>
        <w:lastRenderedPageBreak/>
        <w:t>projek</w:t>
      </w:r>
      <w:r w:rsidR="00EF6973" w:rsidRPr="00EC1008">
        <w:rPr>
          <w:rFonts w:cstheme="minorHAnsi"/>
        </w:rPr>
        <w:t>ata</w:t>
      </w:r>
      <w:r w:rsidRPr="00EC1008">
        <w:rPr>
          <w:rFonts w:cstheme="minorHAnsi"/>
        </w:rPr>
        <w:t xml:space="preserve">, </w:t>
      </w:r>
      <w:r w:rsidR="00EF6973" w:rsidRPr="00EC1008">
        <w:rPr>
          <w:rFonts w:cstheme="minorHAnsi"/>
        </w:rPr>
        <w:t xml:space="preserve">kojima će se </w:t>
      </w:r>
      <w:r w:rsidRPr="00EC1008">
        <w:rPr>
          <w:rFonts w:cstheme="minorHAnsi"/>
        </w:rPr>
        <w:t>prijavljivati prema međunarodnim donatorima i EU programima, kako bi</w:t>
      </w:r>
      <w:r w:rsidR="00EF6973" w:rsidRPr="00EC1008">
        <w:rPr>
          <w:rFonts w:cstheme="minorHAnsi"/>
        </w:rPr>
        <w:t xml:space="preserve"> se</w:t>
      </w:r>
      <w:r w:rsidRPr="00EC1008">
        <w:rPr>
          <w:rFonts w:cstheme="minorHAnsi"/>
        </w:rPr>
        <w:t xml:space="preserve"> obezbijedil</w:t>
      </w:r>
      <w:r w:rsidR="00EF6973" w:rsidRPr="00EC1008">
        <w:rPr>
          <w:rFonts w:cstheme="minorHAnsi"/>
        </w:rPr>
        <w:t>a</w:t>
      </w:r>
      <w:r w:rsidRPr="00EC1008">
        <w:rPr>
          <w:rFonts w:cstheme="minorHAnsi"/>
        </w:rPr>
        <w:t xml:space="preserve"> neophodna sredstva i implementira</w:t>
      </w:r>
      <w:r w:rsidR="00EC1008" w:rsidRPr="00EC1008">
        <w:rPr>
          <w:rFonts w:cstheme="minorHAnsi"/>
        </w:rPr>
        <w:t>la</w:t>
      </w:r>
      <w:r w:rsidRPr="00EC1008">
        <w:rPr>
          <w:rFonts w:cstheme="minorHAnsi"/>
        </w:rPr>
        <w:t xml:space="preserve"> kroz projekte, uz pomoć kojih će</w:t>
      </w:r>
      <w:r w:rsidR="00EC1008" w:rsidRPr="00EC1008">
        <w:rPr>
          <w:rFonts w:cstheme="minorHAnsi"/>
        </w:rPr>
        <w:t xml:space="preserve"> se</w:t>
      </w:r>
      <w:r w:rsidRPr="00EC1008">
        <w:rPr>
          <w:rFonts w:cstheme="minorHAnsi"/>
        </w:rPr>
        <w:t xml:space="preserve"> ispuniti zadate obaveze.</w:t>
      </w:r>
    </w:p>
    <w:p w14:paraId="75780B18" w14:textId="70A422DC" w:rsidR="00AC46CC" w:rsidRPr="00EC1008" w:rsidRDefault="00EC1008" w:rsidP="00AC46CC">
      <w:pPr>
        <w:spacing w:before="120" w:line="240" w:lineRule="auto"/>
        <w:jc w:val="both"/>
        <w:rPr>
          <w:rFonts w:cstheme="minorHAnsi"/>
        </w:rPr>
      </w:pPr>
      <w:r w:rsidRPr="00EC1008">
        <w:rPr>
          <w:rFonts w:cstheme="minorHAnsi"/>
        </w:rPr>
        <w:t>Posebno se ističe k</w:t>
      </w:r>
      <w:r w:rsidR="00AC46CC" w:rsidRPr="00EC1008">
        <w:rPr>
          <w:rFonts w:cstheme="minorHAnsi"/>
        </w:rPr>
        <w:t>ontinuitet finansiranja, naročito iz perspektive korisnika sredstava koji će implementirati mjere.</w:t>
      </w:r>
      <w:r w:rsidRPr="00EC1008">
        <w:rPr>
          <w:rFonts w:cstheme="minorHAnsi"/>
        </w:rPr>
        <w:t xml:space="preserve"> Iskustvo sa implementacijom donatorskih EU sredstava ukazuje da je</w:t>
      </w:r>
      <w:r w:rsidR="00AC46CC" w:rsidRPr="00EC1008">
        <w:rPr>
          <w:rFonts w:cstheme="minorHAnsi"/>
        </w:rPr>
        <w:t xml:space="preserve"> Fond prepoznat kao strateški partner koji, vlastitim ali i međunarodnim sredstvima, putem javnih poziva osigurava sigurno i neometano finansiranje </w:t>
      </w:r>
      <w:r w:rsidRPr="00EC1008">
        <w:rPr>
          <w:rFonts w:cstheme="minorHAnsi"/>
        </w:rPr>
        <w:t xml:space="preserve">provođenja </w:t>
      </w:r>
      <w:r w:rsidR="00AC46CC" w:rsidRPr="00EC1008">
        <w:rPr>
          <w:rFonts w:cstheme="minorHAnsi"/>
        </w:rPr>
        <w:t>mjera</w:t>
      </w:r>
      <w:r w:rsidRPr="00EC1008">
        <w:rPr>
          <w:rFonts w:cstheme="minorHAnsi"/>
        </w:rPr>
        <w:t xml:space="preserve"> povećanja energijske efikasnsoti</w:t>
      </w:r>
      <w:r w:rsidR="00AC46CC" w:rsidRPr="00EC1008">
        <w:rPr>
          <w:rFonts w:cstheme="minorHAnsi"/>
        </w:rPr>
        <w:t xml:space="preserve"> i tehničku podršku.</w:t>
      </w:r>
    </w:p>
    <w:p w14:paraId="0AB3779C" w14:textId="77777777" w:rsidR="00AC46CC" w:rsidRDefault="00AC46CC" w:rsidP="00CF5B5E">
      <w:pPr>
        <w:spacing w:before="120" w:line="240" w:lineRule="auto"/>
        <w:jc w:val="both"/>
      </w:pPr>
    </w:p>
    <w:sectPr w:rsidR="00AC46CC" w:rsidSect="00CF5B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F870D" w14:textId="77777777" w:rsidR="007A4F77" w:rsidRDefault="007A4F77" w:rsidP="007A4F77">
      <w:pPr>
        <w:spacing w:after="0" w:line="240" w:lineRule="auto"/>
      </w:pPr>
      <w:r>
        <w:separator/>
      </w:r>
    </w:p>
  </w:endnote>
  <w:endnote w:type="continuationSeparator" w:id="0">
    <w:p w14:paraId="1A7977F1" w14:textId="77777777" w:rsidR="007A4F77" w:rsidRDefault="007A4F77" w:rsidP="007A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o UI">
    <w:altName w:val="Segoe UI"/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44"/>
      <w:gridCol w:w="4644"/>
    </w:tblGrid>
    <w:tr w:rsidR="007A4F77" w:rsidRPr="00560BDB" w14:paraId="63913854" w14:textId="77777777" w:rsidTr="00694785"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5334584" w14:textId="77777777" w:rsidR="007A4F77" w:rsidRPr="00560BDB" w:rsidRDefault="007A4F77" w:rsidP="007A4F77">
          <w:pPr>
            <w:pStyle w:val="Footer"/>
            <w:spacing w:before="120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71 000 Sarajevo, Hamdije </w:t>
          </w:r>
          <w:r w:rsidRPr="00560BDB">
            <w:rPr>
              <w:rFonts w:cs="Lao UI"/>
              <w:sz w:val="16"/>
              <w:szCs w:val="16"/>
            </w:rPr>
            <w:t>Č</w:t>
          </w:r>
          <w:r w:rsidRPr="00560BDB">
            <w:rPr>
              <w:rFonts w:ascii="Lao UI" w:hAnsi="Lao UI" w:cs="Lao UI"/>
              <w:sz w:val="16"/>
              <w:szCs w:val="16"/>
            </w:rPr>
            <w:t>emerli</w:t>
          </w:r>
          <w:r w:rsidRPr="00560BDB">
            <w:rPr>
              <w:rFonts w:cs="Lao UI"/>
              <w:sz w:val="16"/>
              <w:szCs w:val="16"/>
            </w:rPr>
            <w:t>ć</w:t>
          </w:r>
          <w:r w:rsidRPr="00560BDB">
            <w:rPr>
              <w:rFonts w:ascii="Lao UI" w:hAnsi="Lao UI" w:cs="Lao UI"/>
              <w:sz w:val="16"/>
              <w:szCs w:val="16"/>
            </w:rPr>
            <w:t xml:space="preserve">a </w:t>
          </w:r>
          <w:r>
            <w:rPr>
              <w:rFonts w:ascii="Lao UI" w:hAnsi="Lao UI" w:cs="Lao UI"/>
              <w:sz w:val="16"/>
              <w:szCs w:val="16"/>
            </w:rPr>
            <w:t>39a</w:t>
          </w:r>
        </w:p>
        <w:p w14:paraId="3AFEA010" w14:textId="77777777" w:rsidR="007A4F77" w:rsidRPr="00560BDB" w:rsidRDefault="007A4F77" w:rsidP="007A4F77">
          <w:pPr>
            <w:pStyle w:val="Footer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>Tel: (+387 33) 72 36 80</w:t>
          </w:r>
        </w:p>
        <w:p w14:paraId="554F47C0" w14:textId="77777777" w:rsidR="007A4F77" w:rsidRDefault="007A4F77" w:rsidP="007A4F77">
          <w:pPr>
            <w:pStyle w:val="Footer"/>
          </w:pPr>
          <w:r w:rsidRPr="00560BDB">
            <w:rPr>
              <w:rFonts w:ascii="Lao UI" w:hAnsi="Lao UI" w:cs="Lao UI"/>
              <w:sz w:val="16"/>
              <w:szCs w:val="16"/>
            </w:rPr>
            <w:t>Fax: (+387 33) 72 36 88</w:t>
          </w:r>
        </w:p>
      </w:tc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D806498" w14:textId="77777777" w:rsidR="007A4F77" w:rsidRPr="00560BDB" w:rsidRDefault="007A4F77" w:rsidP="007A4F77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</w:p>
        <w:p w14:paraId="219FFEE0" w14:textId="77777777" w:rsidR="007A4F77" w:rsidRPr="00560BDB" w:rsidRDefault="007A4F77" w:rsidP="007A4F77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e-mail: </w:t>
          </w:r>
          <w:hyperlink r:id="rId1" w:history="1">
            <w:r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info@fzofbih.org.ba</w:t>
            </w:r>
          </w:hyperlink>
          <w:r>
            <w:rPr>
              <w:rFonts w:ascii="Lao UI" w:hAnsi="Lao UI" w:cs="Lao UI"/>
              <w:sz w:val="16"/>
              <w:szCs w:val="16"/>
            </w:rPr>
            <w:t xml:space="preserve"> </w:t>
          </w:r>
        </w:p>
        <w:p w14:paraId="1201A12F" w14:textId="77777777" w:rsidR="007A4F77" w:rsidRPr="00560BDB" w:rsidRDefault="007A4F77" w:rsidP="007A4F77">
          <w:pPr>
            <w:pStyle w:val="Footer"/>
            <w:jc w:val="right"/>
            <w:rPr>
              <w:rFonts w:ascii="Lao UI" w:hAnsi="Lao UI" w:cs="Lao UI"/>
            </w:rPr>
          </w:pPr>
          <w:hyperlink r:id="rId2" w:history="1">
            <w:r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http://www.fzofbih.org.ba</w:t>
            </w:r>
          </w:hyperlink>
          <w:r>
            <w:rPr>
              <w:rFonts w:ascii="Lao UI" w:hAnsi="Lao UI" w:cs="Lao UI"/>
              <w:sz w:val="16"/>
              <w:szCs w:val="16"/>
            </w:rPr>
            <w:t xml:space="preserve"> </w:t>
          </w:r>
        </w:p>
      </w:tc>
    </w:tr>
  </w:tbl>
  <w:p w14:paraId="0C5F5CD1" w14:textId="77777777" w:rsidR="007A4F77" w:rsidRDefault="007A4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778F3" w14:textId="77777777" w:rsidR="007A4F77" w:rsidRDefault="007A4F77" w:rsidP="007A4F77">
      <w:pPr>
        <w:spacing w:after="0" w:line="240" w:lineRule="auto"/>
      </w:pPr>
      <w:r>
        <w:separator/>
      </w:r>
    </w:p>
  </w:footnote>
  <w:footnote w:type="continuationSeparator" w:id="0">
    <w:p w14:paraId="6C1EC1DC" w14:textId="77777777" w:rsidR="007A4F77" w:rsidRDefault="007A4F77" w:rsidP="007A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7965"/>
      <w:gridCol w:w="1323"/>
    </w:tblGrid>
    <w:tr w:rsidR="007A4F77" w:rsidRPr="008C4BED" w14:paraId="0036FC6A" w14:textId="77777777" w:rsidTr="00694785">
      <w:trPr>
        <w:jc w:val="center"/>
      </w:trPr>
      <w:tc>
        <w:tcPr>
          <w:tcW w:w="7965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3A5ED8E6" w14:textId="77777777" w:rsidR="007A4F77" w:rsidRPr="008C4BED" w:rsidRDefault="007A4F77" w:rsidP="007A4F77">
          <w:pPr>
            <w:pStyle w:val="Header"/>
            <w:spacing w:after="120"/>
            <w:rPr>
              <w:lang w:val="hr-BA"/>
            </w:rPr>
          </w:pPr>
          <w:r w:rsidRPr="008C4BED">
            <w:rPr>
              <w:noProof/>
              <w:lang w:eastAsia="bs-Latn-BA"/>
            </w:rPr>
            <w:drawing>
              <wp:inline distT="0" distB="0" distL="0" distR="0" wp14:anchorId="587E25CE" wp14:editId="7A7D2B9F">
                <wp:extent cx="2453806" cy="655143"/>
                <wp:effectExtent l="19050" t="0" r="3644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75" cy="656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63B3B516" w14:textId="77777777" w:rsidR="007A4F77" w:rsidRPr="008C4BED" w:rsidRDefault="007A4F77" w:rsidP="007A4F77">
          <w:pPr>
            <w:pStyle w:val="Header"/>
            <w:rPr>
              <w:lang w:val="hr-BA"/>
            </w:rPr>
          </w:pPr>
        </w:p>
      </w:tc>
    </w:tr>
  </w:tbl>
  <w:p w14:paraId="3D75A3AF" w14:textId="77777777" w:rsidR="007A4F77" w:rsidRDefault="007A4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5E"/>
    <w:rsid w:val="00014F3E"/>
    <w:rsid w:val="000372A8"/>
    <w:rsid w:val="000E189E"/>
    <w:rsid w:val="000E327D"/>
    <w:rsid w:val="00145ABF"/>
    <w:rsid w:val="00180530"/>
    <w:rsid w:val="001D7559"/>
    <w:rsid w:val="001E4240"/>
    <w:rsid w:val="001F220A"/>
    <w:rsid w:val="0029506C"/>
    <w:rsid w:val="00310CFC"/>
    <w:rsid w:val="003632FE"/>
    <w:rsid w:val="004031A2"/>
    <w:rsid w:val="004545AC"/>
    <w:rsid w:val="00462569"/>
    <w:rsid w:val="00485173"/>
    <w:rsid w:val="004E1825"/>
    <w:rsid w:val="00537834"/>
    <w:rsid w:val="00570ECA"/>
    <w:rsid w:val="00580B2A"/>
    <w:rsid w:val="00585ADC"/>
    <w:rsid w:val="005950BA"/>
    <w:rsid w:val="005F3EFE"/>
    <w:rsid w:val="006173D9"/>
    <w:rsid w:val="006203D6"/>
    <w:rsid w:val="006273D3"/>
    <w:rsid w:val="00667FB4"/>
    <w:rsid w:val="006E4112"/>
    <w:rsid w:val="006E745E"/>
    <w:rsid w:val="00706346"/>
    <w:rsid w:val="0072342C"/>
    <w:rsid w:val="00726284"/>
    <w:rsid w:val="007A4F77"/>
    <w:rsid w:val="007D24B2"/>
    <w:rsid w:val="007E48C1"/>
    <w:rsid w:val="007F093B"/>
    <w:rsid w:val="008161B8"/>
    <w:rsid w:val="00853DF4"/>
    <w:rsid w:val="008B7E07"/>
    <w:rsid w:val="008E2D81"/>
    <w:rsid w:val="00983BFF"/>
    <w:rsid w:val="00991D97"/>
    <w:rsid w:val="009A3587"/>
    <w:rsid w:val="009B32DF"/>
    <w:rsid w:val="009C2527"/>
    <w:rsid w:val="009D1961"/>
    <w:rsid w:val="009E6CBC"/>
    <w:rsid w:val="009F5D89"/>
    <w:rsid w:val="00A53772"/>
    <w:rsid w:val="00AB5E59"/>
    <w:rsid w:val="00AC46CC"/>
    <w:rsid w:val="00B05DFA"/>
    <w:rsid w:val="00B37C94"/>
    <w:rsid w:val="00BC5498"/>
    <w:rsid w:val="00C6650C"/>
    <w:rsid w:val="00CC543D"/>
    <w:rsid w:val="00CE53C0"/>
    <w:rsid w:val="00CF0E0B"/>
    <w:rsid w:val="00CF5454"/>
    <w:rsid w:val="00CF5B5E"/>
    <w:rsid w:val="00D0478F"/>
    <w:rsid w:val="00D263F2"/>
    <w:rsid w:val="00D61CF5"/>
    <w:rsid w:val="00D7107A"/>
    <w:rsid w:val="00D73954"/>
    <w:rsid w:val="00DA7E01"/>
    <w:rsid w:val="00DB11E6"/>
    <w:rsid w:val="00DC427E"/>
    <w:rsid w:val="00DE7375"/>
    <w:rsid w:val="00DF59E3"/>
    <w:rsid w:val="00E12710"/>
    <w:rsid w:val="00E23431"/>
    <w:rsid w:val="00E30B34"/>
    <w:rsid w:val="00E43D54"/>
    <w:rsid w:val="00EB6AC6"/>
    <w:rsid w:val="00EC1008"/>
    <w:rsid w:val="00ED197C"/>
    <w:rsid w:val="00ED465B"/>
    <w:rsid w:val="00EE33D6"/>
    <w:rsid w:val="00EF6973"/>
    <w:rsid w:val="00F1467C"/>
    <w:rsid w:val="00F7670B"/>
    <w:rsid w:val="00F94B24"/>
    <w:rsid w:val="00FC1BCD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2B44"/>
  <w15:chartTrackingRefBased/>
  <w15:docId w15:val="{58B894B8-860E-4500-8995-1B22CF5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5E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B5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B5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B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B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B5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B5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B5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B5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B5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E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E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5B5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5DFA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B5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B5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B5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B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B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B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B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B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B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5B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F5B5E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B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5B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F5B5E"/>
    <w:rPr>
      <w:b/>
      <w:bCs/>
    </w:rPr>
  </w:style>
  <w:style w:type="character" w:styleId="Emphasis">
    <w:name w:val="Emphasis"/>
    <w:basedOn w:val="DefaultParagraphFont"/>
    <w:uiPriority w:val="20"/>
    <w:qFormat/>
    <w:rsid w:val="00CF5B5E"/>
    <w:rPr>
      <w:i/>
      <w:iCs/>
    </w:rPr>
  </w:style>
  <w:style w:type="paragraph" w:styleId="NoSpacing">
    <w:name w:val="No Spacing"/>
    <w:uiPriority w:val="1"/>
    <w:qFormat/>
    <w:rsid w:val="00CF5B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5B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5B5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B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B5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5B5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5B5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F5B5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F5B5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F5B5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B5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A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7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A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77"/>
    <w:rPr>
      <w:lang w:val="hr-HR"/>
    </w:rPr>
  </w:style>
  <w:style w:type="table" w:styleId="TableGrid">
    <w:name w:val="Table Grid"/>
    <w:basedOn w:val="TableNormal"/>
    <w:uiPriority w:val="59"/>
    <w:rsid w:val="007A4F77"/>
    <w:pPr>
      <w:spacing w:after="0" w:line="240" w:lineRule="auto"/>
    </w:pPr>
    <w:rPr>
      <w:rFonts w:eastAsiaTheme="minorHAns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0B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1D755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rijava.ss@fzofbih.org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ofbih.org.ba" TargetMode="External"/><Relationship Id="rId1" Type="http://schemas.openxmlformats.org/officeDocument/2006/relationships/hyperlink" Target="mailto:info@fzofbih.org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645F-BC71-402D-A53F-5D202BEA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Nedžla Buljina-Ćato</dc:creator>
  <cp:keywords/>
  <dc:description/>
  <cp:lastModifiedBy>Jasmina Kafedzic</cp:lastModifiedBy>
  <cp:revision>3</cp:revision>
  <cp:lastPrinted>2024-09-09T08:39:00Z</cp:lastPrinted>
  <dcterms:created xsi:type="dcterms:W3CDTF">2024-10-24T09:35:00Z</dcterms:created>
  <dcterms:modified xsi:type="dcterms:W3CDTF">2024-10-24T09:35:00Z</dcterms:modified>
</cp:coreProperties>
</file>